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BA96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CB6EF9F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1138C83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არასახელმწიფო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საპენსიო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დაზღვევისა</w:t>
      </w:r>
    </w:p>
    <w:p w14:paraId="7602710D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56B7FC67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B5ADED8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18240619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390AA9DA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922CF9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</w:p>
    <w:p w14:paraId="77827A9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3A5EF8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FE33E32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BD605C9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CA8F98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</w:p>
    <w:p w14:paraId="5978FC6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17868F2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35EB7B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აკუმულირება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3BBFE3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         </w:t>
      </w:r>
    </w:p>
    <w:p w14:paraId="0E13758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B9123F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A1CDB9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020560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90B97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227ADD2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(24.09.2009. N1691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074435D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D2702A" w14:textId="77777777" w:rsidR="00000000" w:rsidRDefault="005D7835">
      <w:pPr>
        <w:ind w:firstLine="720"/>
        <w:jc w:val="both"/>
        <w:rPr>
          <w:rFonts w:ascii="Sylfaen" w:hAnsi="Sylfaen" w:cs="Sylfaen"/>
          <w:b/>
          <w:bCs/>
          <w:sz w:val="36"/>
          <w:szCs w:val="36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არადოკუმენტირებული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(24.09.2009. N1691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4A25ED26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C07A83E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3CCE1968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49B17E2D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942648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</w:p>
    <w:p w14:paraId="43187E1E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14:paraId="1DAB194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7F533C6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4D0064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</w:p>
    <w:p w14:paraId="5B8C9E7D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</w:p>
    <w:p w14:paraId="3CA9081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BA721C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5C8CD6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37DB68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8D00A0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1E4043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2393EBE9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i/>
          <w:iCs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ინიმალურ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7CCE0B81" w14:textId="77777777" w:rsidR="00000000" w:rsidRDefault="005D7835">
      <w:pPr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079C557E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13887F8B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7691B6E2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</w:p>
    <w:p w14:paraId="4F21EF91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</w:p>
    <w:p w14:paraId="63F06411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83BCA9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</w:p>
    <w:p w14:paraId="48D7408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 </w:t>
      </w:r>
    </w:p>
    <w:p w14:paraId="04D3F7D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2D83A7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C48B48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C41DD0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წამოჭრილი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5C954C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C5F3BE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024824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</w:p>
    <w:p w14:paraId="53A60DB2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46838D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გადაავადოს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D59350B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254D5E3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3B9E5F13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45B22E40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ფონდი</w:t>
      </w:r>
    </w:p>
    <w:p w14:paraId="5FA518A0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BAEA7F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</w:p>
    <w:p w14:paraId="566F6409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0A5D7FEB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აქტუარული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გაანგარიშებული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კვარტალის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011B42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57F985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დანაგროვზე</w:t>
      </w:r>
    </w:p>
    <w:p w14:paraId="0B04ABA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გაანგარიშებული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D3B1D22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FD982E8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67FEB28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</w:t>
      </w:r>
    </w:p>
    <w:p w14:paraId="746D0E28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6C5105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10FA99A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(15.07.2020 N 6915)</w:t>
      </w:r>
    </w:p>
    <w:p w14:paraId="70EA38E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>(15.07.2020 N 6915)</w:t>
      </w:r>
    </w:p>
    <w:p w14:paraId="6497074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1003D7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143AB71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C14EF62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3A305A91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C0F4FF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</w:t>
      </w:r>
    </w:p>
    <w:p w14:paraId="227B3755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6C067CBC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</w:t>
      </w:r>
      <w:r>
        <w:rPr>
          <w:rFonts w:ascii="Sylfaen" w:eastAsia="Times New Roman" w:hAnsi="Sylfaen" w:cs="Sylfaen"/>
          <w:i/>
          <w:iCs/>
          <w:lang w:eastAsia="x-none"/>
        </w:rPr>
        <w:t>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4FEC35BA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33D5FD1C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ემიტენტები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რომლებთანაც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35BDB29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5F39261" w14:textId="77777777" w:rsidR="00000000" w:rsidRDefault="005D7835">
      <w:pPr>
        <w:ind w:firstLine="720"/>
        <w:jc w:val="both"/>
        <w:rPr>
          <w:rFonts w:ascii="Sylfae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436EF3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i/>
          <w:iCs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520446B4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9194CD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</w:p>
    <w:p w14:paraId="2AA5D210" w14:textId="77777777" w:rsidR="00000000" w:rsidRDefault="005D7835">
      <w:pPr>
        <w:ind w:firstLine="720"/>
        <w:jc w:val="both"/>
        <w:rPr>
          <w:rFonts w:ascii="Sylfaen" w:hAnsi="Sylfaen" w:cs="Sylfaen"/>
          <w:b/>
          <w:bCs/>
          <w:sz w:val="36"/>
          <w:szCs w:val="36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(24.09.2009. N1691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3678704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577292E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0773B310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7CA92F1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81AEF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7216F5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8B8B53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0C0FA3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6C0BD3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</w:p>
    <w:p w14:paraId="1B273754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4A825746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055AF665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DAB2BA1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AB57608" w14:textId="77777777" w:rsidR="00000000" w:rsidRDefault="005D7835">
      <w:pPr>
        <w:tabs>
          <w:tab w:val="left" w:pos="709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E7E1A1A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6BC216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ძნებელთან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A5A2A9B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5021735E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E53CF0A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03A901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1B5C96C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5FD07A0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071A8BB3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სქემები</w:t>
      </w:r>
    </w:p>
    <w:p w14:paraId="206E0E32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923688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</w:p>
    <w:p w14:paraId="1E6E177A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08776A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7DF4AD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C461A9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8767F3A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</w:t>
      </w:r>
      <w:r>
        <w:rPr>
          <w:rFonts w:eastAsia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(30.10.2019 N5232)</w:t>
      </w:r>
    </w:p>
    <w:p w14:paraId="64FB976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2ED3C1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28069F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(FATF)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FATF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92AC52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FATF-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FATF-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9E9A63A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დამფუძნებლისადმი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FATF-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39AC0C9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კრძალავს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2E29DF5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14:paraId="5AD2B00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</w:p>
    <w:p w14:paraId="5FB79ED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2563F1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1BFB8D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322D54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დამქირავებელთან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A5C5E48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499BC1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8D0655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CD796E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EB81FD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</w:p>
    <w:p w14:paraId="18AB564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189D7C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4B5E556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CFFCCA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C5A0D08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5B2F64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</w:p>
    <w:p w14:paraId="5D9FAE5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1EFBBD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506BD9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EA50FF2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D617D92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601B2EE4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დამსაქმებელი</w:t>
      </w:r>
    </w:p>
    <w:p w14:paraId="0DE2CD6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0EEA37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ერთვოდეს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E01C4C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E7CBA1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B7BD3B3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38756FAA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0C49AD58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კომპანიებისა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</w:p>
    <w:p w14:paraId="018BC19E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სქემები</w:t>
      </w:r>
    </w:p>
    <w:p w14:paraId="698F8A29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2B436D7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16A8A349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E8CDE71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D3E745C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02C90F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5E823E8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5B664DA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147FCC6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1B92240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663E7DC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1C2D17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</w:p>
    <w:p w14:paraId="49E9B2D1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257DE2CE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</w:t>
      </w:r>
      <w:r>
        <w:rPr>
          <w:rFonts w:ascii="Sylfaen" w:hAnsi="Sylfaen" w:cs="Sylfaen"/>
          <w:sz w:val="24"/>
          <w:szCs w:val="24"/>
          <w:lang w:eastAsia="x-none"/>
        </w:rPr>
        <w:t xml:space="preserve">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972BB5F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მფუძნებელ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718B10BD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F0E0BB5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58E41211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9604FF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64A76EA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1C0C567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61C474" w14:textId="77777777" w:rsidR="00000000" w:rsidRDefault="005D78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0BA6D49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AFF5D84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51B35C2E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8E438A2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65D9C96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04CD20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</w:p>
    <w:p w14:paraId="3E221E7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DF7F02F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BC607F3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72BDD0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შეუთანხმოს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8CC2B9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BB120F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54A66C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52564306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2562FB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</w:t>
      </w:r>
    </w:p>
    <w:p w14:paraId="4F7281C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76EAD0B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შეუმცირებლად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955F99D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255BCB2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გადასვლა</w:t>
      </w:r>
    </w:p>
    <w:p w14:paraId="0E34EF8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FD4DE7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46824D8" w14:textId="77777777" w:rsidR="00000000" w:rsidRDefault="005D7835">
      <w:pPr>
        <w:tabs>
          <w:tab w:val="left" w:pos="720"/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A5A5E97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27EBA4D1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დათხოვნისას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ინვალიდობის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61EB73A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გაკოტრებისას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367E29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ეწყვეტისას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სქემიდანაც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36DAA3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128635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76D1A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A55A22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23970C7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0A8634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</w:p>
    <w:p w14:paraId="56F469B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989492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2C966F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380ECBA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40655D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218E54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0201D5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12A949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არამდგრადობა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5F53A12" w14:textId="77777777" w:rsidR="00000000" w:rsidRDefault="005D7835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(24.09.2009. N1691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5BC1BB99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3246CE8D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16EB543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F2CB47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1140D01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94395D7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14:paraId="50D80E9B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0BB51E50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დამფუძნებელთა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მმართველ</w:t>
      </w:r>
    </w:p>
    <w:p w14:paraId="3E5899E9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კომპანიათა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დეპოზიტართა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</w:p>
    <w:p w14:paraId="681557FC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</w:t>
      </w:r>
    </w:p>
    <w:p w14:paraId="15DD3E4F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</w:t>
      </w:r>
    </w:p>
    <w:p w14:paraId="63AC156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</w:p>
    <w:p w14:paraId="5BBE96F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9B26D8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21A2A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E6A8244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714461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ყოფა</w:t>
      </w:r>
    </w:p>
    <w:p w14:paraId="1FD2B77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1D4ACB6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(28.10</w:t>
      </w:r>
      <w:r>
        <w:rPr>
          <w:rFonts w:ascii="Sylfaen" w:hAnsi="Sylfaen" w:cs="Sylfaen"/>
          <w:i/>
          <w:iCs/>
          <w:lang w:eastAsia="x-none"/>
        </w:rPr>
        <w:t>.2015 N4464 )</w:t>
      </w:r>
    </w:p>
    <w:p w14:paraId="06F2BE94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(28.10.2015 N4464 )</w:t>
      </w:r>
    </w:p>
    <w:p w14:paraId="2985DC01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მიუწოდებლობისათვის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დაგვიანებულ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0.01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0F55DA99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BAFD6F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</w:t>
      </w:r>
    </w:p>
    <w:p w14:paraId="53D6316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B31D91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განაცალკევოს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2631D2E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გახსნას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F6339EA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CB1956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შეფარდებითი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(24.09.2009. N1691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33BE8B7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FF9C474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(24.09.2009. N1691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1BF256A8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AF32D91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1E27F8E8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7E849EF7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0D35CE5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79F9E1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განაცალკევოს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180136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განაცალკევოს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975EBE0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გახსნას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BE6E1D1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აქტუარული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2371E911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(24.09.2009. N1691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406F85B" w14:textId="77777777" w:rsidR="00000000" w:rsidRDefault="005D7835">
      <w:pPr>
        <w:rPr>
          <w:rFonts w:ascii="Sylfaen" w:hAnsi="Sylfaen" w:cs="Sylfaen"/>
          <w:sz w:val="24"/>
          <w:szCs w:val="24"/>
          <w:lang w:eastAsia="x-none"/>
        </w:rPr>
      </w:pPr>
    </w:p>
    <w:p w14:paraId="7A72AA53" w14:textId="77777777" w:rsidR="00000000" w:rsidRDefault="005D7835">
      <w:pPr>
        <w:tabs>
          <w:tab w:val="left" w:pos="1418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14:paraId="1BFD283E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59FD9030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</w:p>
    <w:p w14:paraId="6F916E15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სტიმულირება</w:t>
      </w:r>
    </w:p>
    <w:p w14:paraId="39390401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B5B7540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EADFEC0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412F82C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76C78374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0AE051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F4C61E9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7055035B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086EA07D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170F9A94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CA9D7F6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ACEDB0D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CB63DAA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6688896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34CB691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31048483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155C5309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11EA48A7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F1F3FA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54299855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AC5DEE7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74051E94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მეთვალყურეობასა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03730BBB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6F95B110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CB6B27D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7EA5307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38029C8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6CFA943" w14:textId="77777777" w:rsidR="00000000" w:rsidRDefault="005D783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679D2D61" w14:textId="77777777" w:rsidR="00000000" w:rsidRDefault="005D7835">
      <w:pPr>
        <w:tabs>
          <w:tab w:val="left" w:pos="720"/>
          <w:tab w:val="left" w:pos="81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       </w:t>
      </w:r>
    </w:p>
    <w:p w14:paraId="13E2CB5E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EA0828D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გაუუქმოს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 </w:t>
      </w:r>
    </w:p>
    <w:p w14:paraId="6EBD5E45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1D6716D" w14:textId="77777777" w:rsidR="00000000" w:rsidRDefault="005D7835">
      <w:pPr>
        <w:widowControl/>
        <w:tabs>
          <w:tab w:val="left" w:pos="72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4ACA663F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1C15E45" w14:textId="77777777" w:rsidR="00000000" w:rsidRDefault="005D7835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დაარღვიეს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24A5FAD" w14:textId="77777777" w:rsidR="00000000" w:rsidRDefault="005D7835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დაარღვიეს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არაზუსტი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A4524D2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(30.10.2019 N5232)</w:t>
      </w:r>
    </w:p>
    <w:p w14:paraId="49A2763D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არათანამიმდევრულად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89EECE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3F46073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შეწყვიტონ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124C42A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86556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880C17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444B1DD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A682726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8B2E208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195FEE2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26003DD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eastAsia="x-none"/>
        </w:rPr>
      </w:pPr>
    </w:p>
    <w:p w14:paraId="3880EE02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45378976" w14:textId="77777777" w:rsidR="00000000" w:rsidRDefault="005D7835">
      <w:pPr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7EA15053" w14:textId="77777777" w:rsidR="00000000" w:rsidRDefault="005D7835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D9385E7" w14:textId="77777777" w:rsidR="00000000" w:rsidRDefault="005D7835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(20.03.2015 N3384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 xml:space="preserve">)  </w:t>
      </w:r>
    </w:p>
    <w:p w14:paraId="6F84AB3C" w14:textId="77777777" w:rsidR="00000000" w:rsidRDefault="005D7835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4FA9FF1A" w14:textId="77777777" w:rsidR="00000000" w:rsidRDefault="005D7835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7AC6E46" w14:textId="77777777" w:rsidR="00000000" w:rsidRDefault="005D7835">
      <w:pPr>
        <w:widowControl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D0F4780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E36CBB3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i/>
          <w:iCs/>
          <w:lang w:eastAsia="x-none"/>
        </w:rPr>
        <w:t xml:space="preserve">(29.12.2006. N4325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2007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7314F77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69C28655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14:paraId="66A85F9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</w:p>
    <w:p w14:paraId="64690A16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სტიმულირება</w:t>
      </w:r>
    </w:p>
    <w:p w14:paraId="2CB4D818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სტიმულირება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0D2CBFD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1E87663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14:paraId="6E1286C2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57C8B5AA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მფუძნებლის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ფინანსური</w:t>
      </w:r>
    </w:p>
    <w:p w14:paraId="49EE17E5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მდგრადობის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უზრუნველყოფა</w:t>
      </w:r>
    </w:p>
    <w:p w14:paraId="4E177D90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638E130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7F23F382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საგარანტიო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141B2D9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076E29B" w14:textId="77777777" w:rsidR="00000000" w:rsidRDefault="005D7835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(24.09.2009 N 1691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14:paraId="1BE041DB" w14:textId="77777777" w:rsidR="00000000" w:rsidRDefault="005D7835">
      <w:pPr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054B379E" w14:textId="77777777" w:rsidR="00000000" w:rsidRDefault="005D7835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31A15FB2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6E10B7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</w:p>
    <w:p w14:paraId="5281282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უქონლობის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ბანკროტად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FEF0151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F12586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D5D79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FBD48FF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BA649D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(24.09.2009. N1691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356C53FD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საგარანტიო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7DEED73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E4814C4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</w:p>
    <w:p w14:paraId="0E5181B1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67E918A6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4637EB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801B163" w14:textId="77777777" w:rsidR="00000000" w:rsidRDefault="005D7835">
      <w:pPr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36"/>
          <w:szCs w:val="36"/>
          <w:lang w:eastAsia="x-none"/>
        </w:rPr>
        <w:t xml:space="preserve">      </w:t>
      </w: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(24.09.2009. N1691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63FEFAB4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7E4C021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(23.03.2010 N2833)</w:t>
      </w:r>
    </w:p>
    <w:p w14:paraId="2DAB8BA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91A55F3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260068B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8E7F655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5E21431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D2D5232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EB7436B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7A2586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2757D8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261B1D1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8EF692F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3A2E3C7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B090983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4BE8D40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მეანაბრეთა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D3DC5F6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დანაგროვის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E055FE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(14.07.2020 N68</w:t>
      </w: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14:paraId="1A4FD322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(14.07.2020</w:t>
      </w:r>
      <w:r>
        <w:rPr>
          <w:rFonts w:ascii="Sylfaen" w:hAnsi="Sylfaen" w:cs="Sylfaen"/>
          <w:lang w:val="en-US"/>
        </w:rPr>
        <w:t xml:space="preserve"> N68</w:t>
      </w: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14:paraId="03637B60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A80B1F2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63760DD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(14.07.2020 N68</w:t>
      </w: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14:paraId="258BD0DC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(14.07.2020 N68</w:t>
      </w: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14:paraId="7FD841D6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(14.07.2020 N68</w:t>
      </w: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14:paraId="2662BE9B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537108F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C830608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98B30B4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BD85464" w14:textId="77777777" w:rsidR="00000000" w:rsidRDefault="005D78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52A427D" w14:textId="77777777" w:rsidR="00000000" w:rsidRDefault="005D7835">
      <w:pPr>
        <w:rPr>
          <w:rFonts w:ascii="Sylfaen" w:hAnsi="Sylfaen" w:cs="Sylfaen"/>
          <w:sz w:val="24"/>
          <w:szCs w:val="24"/>
          <w:lang w:eastAsia="x-none"/>
        </w:rPr>
      </w:pPr>
    </w:p>
    <w:p w14:paraId="51459E29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IX</w:t>
      </w:r>
    </w:p>
    <w:p w14:paraId="76D1622F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59B0965D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66856033" w14:textId="77777777" w:rsidR="00000000" w:rsidRDefault="005D7835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</w:t>
      </w:r>
    </w:p>
    <w:p w14:paraId="25C86C61" w14:textId="77777777" w:rsidR="00000000" w:rsidRDefault="005D7835">
      <w:pPr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</w:t>
      </w:r>
    </w:p>
    <w:p w14:paraId="14F295A4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963643C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</w:p>
    <w:p w14:paraId="3509195B" w14:textId="77777777" w:rsidR="00000000" w:rsidRDefault="005D7835">
      <w:pPr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91E7D71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1BF3988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.</w:t>
      </w:r>
    </w:p>
    <w:p w14:paraId="000EFC50" w14:textId="77777777" w:rsidR="00000000" w:rsidRDefault="005D7835">
      <w:pPr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9F23DBC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3D3749BD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1998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14A31E" w14:textId="77777777" w:rsidR="00000000" w:rsidRDefault="005D7835">
      <w:pPr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N 1679 - 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6BC26600" w14:textId="77777777" w:rsidR="00000000" w:rsidRDefault="005D7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2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20371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D7835"/>
    <w:rsid w:val="005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8C3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6839</Words>
  <Characters>38987</Characters>
  <Application>Microsoft Office Word</Application>
  <DocSecurity>0</DocSecurity>
  <Lines>324</Lines>
  <Paragraphs>91</Paragraphs>
  <ScaleCrop>false</ScaleCrop>
  <Company/>
  <LinksUpToDate>false</LinksUpToDate>
  <CharactersWithSpaces>45735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