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63A1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7763A1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7763A1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ოპერატიულ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სამძებრო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7763A1">
      <w:pPr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7763A1">
      <w:pPr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</w:t>
      </w:r>
    </w:p>
    <w:p w:rsidR="00000000" w:rsidRDefault="007763A1">
      <w:pPr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დებულებანი</w:t>
      </w:r>
    </w:p>
    <w:p w:rsidR="00000000" w:rsidRDefault="007763A1">
      <w:pPr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ხელყოფისაგან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(16.12.2005.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№2267)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გამოსაკვლევი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ებაყოფლობითია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გამოსაკითხ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აფრთხილებენ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ცრუ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გამოკითხულ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7763A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კრიმინალისტიკური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(0</w:t>
      </w:r>
      <w:r>
        <w:rPr>
          <w:rFonts w:ascii="Sylfaen" w:hAnsi="Sylfaen" w:cs="Sylfaen"/>
          <w:sz w:val="20"/>
          <w:szCs w:val="20"/>
          <w:lang w:eastAsia="x-none"/>
        </w:rPr>
        <w:t xml:space="preserve">1.05.2015.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3537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7763A1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კონსპირაციულად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ნხორციელება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№5620)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№5620)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გაიგივება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დაქტილოსკოპიური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კარტოთეკის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>(22.03.2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კონსპირაციული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2267)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№478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pStyle w:val="muxl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bookmarkStart w:id="0" w:name="part_5"/>
      <w:bookmarkEnd w:id="0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2635)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კონსპირაციის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</w:t>
      </w:r>
      <w:r>
        <w:rPr>
          <w:rFonts w:ascii="Sylfaen" w:eastAsia="Times New Roman" w:hAnsi="Sylfaen" w:cs="Sylfaen"/>
          <w:lang w:val="ka-GE" w:eastAsia="ka-GE"/>
        </w:rPr>
        <w:t>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უწესრიგობის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</w:t>
      </w:r>
      <w:r>
        <w:rPr>
          <w:rFonts w:ascii="Sylfaen" w:eastAsia="Times New Roman" w:hAnsi="Sylfaen" w:cs="Sylfaen"/>
          <w:lang w:val="ka-GE" w:eastAsia="ka-GE"/>
        </w:rPr>
        <w:t>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კეთილდღეობის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</w:t>
      </w:r>
      <w:r>
        <w:rPr>
          <w:rFonts w:ascii="Sylfaen" w:eastAsia="Times New Roman" w:hAnsi="Sylfaen" w:cs="Sylfaen"/>
          <w:lang w:val="ka-GE" w:eastAsia="ka-GE"/>
        </w:rPr>
        <w:t>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 xml:space="preserve">4.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</w:t>
      </w:r>
      <w:r>
        <w:rPr>
          <w:rFonts w:ascii="Sylfaen" w:eastAsia="Times New Roman" w:hAnsi="Sylfaen" w:cs="Sylfaen"/>
          <w:lang w:val="ka-GE" w:eastAsia="ka-GE"/>
        </w:rPr>
        <w:t>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პატივსა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შანტაჟთან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3A1">
      <w:pPr>
        <w:pStyle w:val="muxl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bookmarkStart w:id="1" w:name="part_4"/>
      <w:bookmarkEnd w:id="1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2635)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</w:t>
      </w:r>
      <w:r>
        <w:rPr>
          <w:rFonts w:ascii="Sylfaen" w:eastAsia="Times New Roman" w:hAnsi="Sylfaen" w:cs="Sylfaen"/>
          <w:lang w:val="ka-GE" w:eastAsia="ka-GE"/>
        </w:rPr>
        <w:t>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სჩადის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</w:t>
      </w:r>
      <w:r>
        <w:rPr>
          <w:rFonts w:ascii="Sylfaen" w:eastAsia="Times New Roman" w:hAnsi="Sylfaen" w:cs="Sylfaen"/>
          <w:lang w:val="ka-GE" w:eastAsia="ka-GE"/>
        </w:rPr>
        <w:t>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იანობის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799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საქვეყნოობა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გასაიდუმლოებულია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განსაიდუმლოება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განსაიდუმლოება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(25.12.200.9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2468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გახმაუ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განდობილი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გახმაურებისათვის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გახმაურება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</w:p>
    <w:p w:rsidR="00000000" w:rsidRDefault="007763A1">
      <w:pPr>
        <w:ind w:left="1134" w:firstLine="1134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763A1">
      <w:pPr>
        <w:ind w:left="1134" w:firstLine="1134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ლისუფლებების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წყობილების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დამხობას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ეწევიან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აღვივებენ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შუღლს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№6980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7763A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გახმაურდეს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ანადგურებს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ცნება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კონსპირაციის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გაიგივება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ცენზურა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2635)</w:t>
      </w:r>
    </w:p>
    <w:p w:rsidR="00000000" w:rsidRDefault="007763A1">
      <w:pPr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კონსპირაციული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გლობალურ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ინტერნეტურთიერთობებზე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სიმულაციური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№5620)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№478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ტიფიცირებელი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№478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გაუჩინარება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ამოუცნობი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3132)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7763A1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ობები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აღმსარებლობა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მრწამსი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763A1">
      <w:pPr>
        <w:ind w:firstLine="56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2267)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3132)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747)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2987)</w:t>
      </w:r>
    </w:p>
    <w:p w:rsidR="00000000" w:rsidRDefault="007763A1">
      <w:pPr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2267)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4732)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763A1">
      <w:pPr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3132)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1370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კონსპირაციის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1370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სასამსახურო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უკლებლივ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სანქციონირებისას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სასამსახურო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18"/>
          <w:szCs w:val="18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18"/>
          <w:szCs w:val="18"/>
          <w:lang w:val="ka-GE" w:eastAsia="ka-GE"/>
        </w:rPr>
        <w:t>5549)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კონსპირაციის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შენიღბულია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ივარაუდოს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ორგანოებისათვის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ორგანოებისათვის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შეიტყვეს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მრწამსის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გამომძიებლის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№3392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ასამრჯელოს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დაიღუპა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შემწეობა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ინვალიდობის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5549)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გამოეყოფათ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საქმიანობისადმი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pStyle w:val="abzacixml"/>
        <w:spacing w:before="0" w:after="0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2635)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3A1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:rsidR="00000000" w:rsidRDefault="007763A1">
      <w:pPr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ედუარდ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შევარდნაძე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763A1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>1933 - 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7763A1">
      <w:pPr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63A1"/>
    <w:rsid w:val="007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 w:line="36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0" w:lineRule="atLeast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0" w:lineRule="atLeast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widowControl/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8"/>
      <w:szCs w:val="28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5319</Words>
  <Characters>30321</Characters>
  <Application>Microsoft Office Word</Application>
  <DocSecurity>0</DocSecurity>
  <Lines>252</Lines>
  <Paragraphs>71</Paragraphs>
  <ScaleCrop>false</ScaleCrop>
  <Company/>
  <LinksUpToDate>false</LinksUpToDate>
  <CharactersWithSpaces>35569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