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72282">
      <w:pPr>
        <w:pStyle w:val="Normal0"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72282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05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</w:t>
      </w:r>
      <w:r>
        <w:rPr>
          <w:rFonts w:ascii="Sylfaen" w:eastAsia="Times New Roman" w:hAnsi="Sylfaen" w:cs="Sylfaen"/>
          <w:b/>
          <w:bCs/>
          <w:lang w:val="en-US"/>
        </w:rPr>
        <w:t>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ცნება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(21.11.2008.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542)</w:t>
      </w:r>
    </w:p>
    <w:p w:rsidR="00000000" w:rsidRDefault="00C72282">
      <w:pPr>
        <w:pStyle w:val="abzacixml"/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06.09.2013. N1016)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№6959)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უფლებაუნარიანობა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დასახული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ფლებაუნარიანობა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მოსარჩელედ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მოპასუხედ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1016)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lastRenderedPageBreak/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C7228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საჯა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2098)</w:t>
      </w:r>
    </w:p>
    <w:p w:rsidR="00000000" w:rsidRDefault="00C72282">
      <w:pPr>
        <w:tabs>
          <w:tab w:val="left" w:pos="322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tabs>
          <w:tab w:val="left" w:pos="322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საგამომცემლო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tabs>
          <w:tab w:val="left" w:pos="32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tabs>
          <w:tab w:val="left" w:pos="32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გამოგონების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 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hAnsi="Sylfaen" w:cs="Sylfaen"/>
          <w:lang w:eastAsia="x-non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</w:t>
      </w:r>
      <w:r>
        <w:rPr>
          <w:rFonts w:ascii="Sylfaen" w:hAnsi="Sylfaen" w:cs="Sylfaen"/>
          <w:sz w:val="20"/>
          <w:szCs w:val="20"/>
          <w:lang w:eastAsia="x-none"/>
        </w:rPr>
        <w:t>069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</w:t>
      </w:r>
      <w:r>
        <w:rPr>
          <w:rFonts w:ascii="Sylfaen" w:hAnsi="Sylfaen" w:cs="Sylfaen"/>
          <w:sz w:val="20"/>
          <w:szCs w:val="20"/>
          <w:lang w:eastAsia="x-none"/>
        </w:rPr>
        <w:t>069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353)</w:t>
      </w:r>
    </w:p>
    <w:p w:rsidR="00000000" w:rsidRDefault="00C7228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7228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05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სტრუქტურა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კორპორაცია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განკერძოების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lastRenderedPageBreak/>
        <w:t>დაფუძნება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უფლებაუნარია</w:t>
      </w:r>
      <w:r>
        <w:rPr>
          <w:rFonts w:ascii="Sylfaen" w:eastAsia="Times New Roman" w:hAnsi="Sylfaen" w:cs="Sylfaen"/>
          <w:b/>
          <w:bCs/>
          <w:lang w:val="ka-GE" w:eastAsia="ka-GE"/>
        </w:rPr>
        <w:t>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დამტკიცებისა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(06.09.2013. N1016)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№6959)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შესატანების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</w:t>
      </w:r>
      <w:r>
        <w:rPr>
          <w:rFonts w:ascii="Sylfaen" w:eastAsia="Times New Roman" w:hAnsi="Sylfaen" w:cs="Sylfaen"/>
          <w:lang w:val="ka-GE" w:eastAsia="ka-GE"/>
        </w:rPr>
        <w:t>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5.06.2012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6381)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</w:t>
      </w:r>
      <w:r>
        <w:rPr>
          <w:rFonts w:ascii="Sylfaen" w:eastAsia="Times New Roman" w:hAnsi="Sylfaen" w:cs="Sylfaen"/>
          <w:b/>
          <w:bCs/>
          <w:lang w:val="ka-GE" w:eastAsia="ka-GE"/>
        </w:rPr>
        <w:t>ომადგენლობა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:rsidR="00000000" w:rsidRDefault="00C72282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67"/>
        <w:jc w:val="both"/>
        <w:rPr>
          <w:rFonts w:ascii="Sylfae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წარმომადგენლობა</w:t>
      </w:r>
    </w:p>
    <w:p w:rsidR="00000000" w:rsidRDefault="00C72282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</w:t>
      </w:r>
      <w:r>
        <w:rPr>
          <w:rFonts w:ascii="Sylfaen" w:eastAsia="Times New Roman" w:hAnsi="Sylfaen" w:cs="Sylfaen"/>
          <w:lang w:val="ka-GE" w:eastAsia="ka-GE"/>
        </w:rPr>
        <w:t>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06.09.2013. N1016)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</w:t>
      </w:r>
      <w:r>
        <w:rPr>
          <w:rFonts w:ascii="Sylfaen" w:eastAsia="Times New Roman" w:hAnsi="Sylfaen" w:cs="Sylfaen"/>
          <w:lang w:val="ka-GE" w:eastAsia="ka-GE"/>
        </w:rPr>
        <w:t>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153)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(27.10.20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72282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525)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</w:t>
      </w:r>
      <w:r>
        <w:rPr>
          <w:rFonts w:ascii="Sylfaen" w:eastAsia="Times New Roman" w:hAnsi="Sylfaen" w:cs="Sylfaen"/>
          <w:lang w:val="ka-GE" w:eastAsia="ka-GE"/>
        </w:rPr>
        <w:t>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          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153)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27.10.2015.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</w:t>
      </w:r>
      <w:r>
        <w:rPr>
          <w:rFonts w:ascii="Sylfaen" w:eastAsia="Times New Roman" w:hAnsi="Sylfaen" w:cs="Sylfaen"/>
          <w:lang w:val="ka-GE" w:eastAsia="ka-GE"/>
        </w:rPr>
        <w:t>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</w:t>
      </w:r>
      <w:r>
        <w:rPr>
          <w:rFonts w:ascii="Sylfaen" w:hAnsi="Sylfaen" w:cs="Sylfaen"/>
          <w:b/>
          <w:bCs/>
          <w:position w:val="12"/>
          <w:lang w:eastAsia="x-none"/>
        </w:rPr>
        <w:t>3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ხელმძღვანელისა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მოადგილი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</w:t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</w:t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eastAsia="x-none"/>
        </w:rPr>
        <w:t>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შესარჩევად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გამარტივებული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ღნიშნულ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გასაუბრების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დაიკავა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ზედიზედ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ხორციელებდა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C72282">
      <w:pPr>
        <w:tabs>
          <w:tab w:val="left" w:pos="10915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შინაგანაწესით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</w:t>
      </w:r>
      <w:r>
        <w:rPr>
          <w:rFonts w:ascii="Sylfaen" w:eastAsia="Times New Roman" w:hAnsi="Sylfaen" w:cs="Sylfaen"/>
          <w:lang w:eastAsia="x-none"/>
        </w:rPr>
        <w:t>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1016)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tabs>
          <w:tab w:val="left" w:pos="81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</w:t>
      </w:r>
      <w:r>
        <w:rPr>
          <w:rFonts w:eastAsia="Times New Roman"/>
          <w:b/>
          <w:bCs/>
          <w:position w:val="12"/>
          <w:lang w:eastAsia="x-none"/>
        </w:rPr>
        <w:t>​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ქალაქ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თბილისის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საკრებულოს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დაფუძნებულ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6959)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</w:t>
      </w:r>
      <w:r>
        <w:rPr>
          <w:rFonts w:ascii="Sylfaen" w:eastAsia="Times New Roman" w:hAnsi="Sylfaen" w:cs="Sylfaen"/>
          <w:lang w:eastAsia="x-none"/>
        </w:rPr>
        <w:t>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საჭიროებს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t>ნხმობას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08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spacing w:line="20" w:lineRule="atLeast"/>
        <w:ind w:left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08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spacing w:line="20" w:lineRule="atLeast"/>
        <w:ind w:left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2937)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>(21.07.2010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Times New Roman" w:eastAsia="Times New Roman" w:hAnsi="Times New Roman" w:cs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დასასაქმებე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353)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მხარჯავი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1228)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საწევროები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სავალი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</w:t>
      </w:r>
      <w:r>
        <w:rPr>
          <w:rFonts w:ascii="Sylfaen" w:eastAsia="Times New Roman" w:hAnsi="Sylfaen" w:cs="Sylfaen"/>
          <w:lang w:eastAsia="x-none"/>
        </w:rPr>
        <w:t>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№4617)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4320)</w:t>
      </w:r>
    </w:p>
    <w:p w:rsidR="00000000" w:rsidRDefault="00C7228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(20.12.2012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(20.12.2012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საბუღალტრო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</w:t>
      </w:r>
      <w:r>
        <w:rPr>
          <w:rFonts w:ascii="Sylfaen" w:eastAsia="Times New Roman" w:hAnsi="Sylfaen" w:cs="Sylfaen"/>
          <w:lang w:val="ka-GE" w:eastAsia="ka-GE"/>
        </w:rPr>
        <w:t>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ლიკვიდატორები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ლიკვიდატორების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დარჩენილი</w:t>
      </w:r>
    </w:p>
    <w:p w:rsidR="00000000" w:rsidRDefault="00C72282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განაწილება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(22.03.2005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1131)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კოლიზიის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Times New Roman" w:eastAsia="Times New Roman" w:hAnsi="Times New Roman" w:cs="Times New Roman"/>
          <w:position w:val="12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№6959)</w:t>
      </w:r>
    </w:p>
    <w:p w:rsidR="00000000" w:rsidRDefault="00C72282">
      <w:pPr>
        <w:pStyle w:val="Normal0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დაფუძნების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C7228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თობლიობაში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</w:t>
      </w:r>
      <w:r>
        <w:rPr>
          <w:rFonts w:ascii="Sylfaen" w:eastAsia="Times New Roman" w:hAnsi="Sylfaen" w:cs="Sylfaen"/>
          <w:lang w:val="ka-GE" w:eastAsia="ka-GE"/>
        </w:rPr>
        <w:t>ძნდეს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hAnsi="Sylfaen" w:cs="Sylfaen"/>
          <w:lang w:val="ka-GE" w:eastAsia="ka-GE"/>
        </w:rPr>
        <w:t>156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hAnsi="Sylfaen" w:cs="Sylfaen"/>
          <w:lang w:eastAsia="x-none"/>
        </w:rPr>
        <w:t>.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2030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7228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2052 -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C7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2282"/>
    <w:rsid w:val="00C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/>
      <w:spacing w:after="169" w:line="259" w:lineRule="auto"/>
      <w:ind w:right="826"/>
      <w:jc w:val="right"/>
      <w:outlineLvl w:val="0"/>
    </w:pPr>
    <w:rPr>
      <w:color w:val="000000"/>
      <w:sz w:val="23"/>
      <w:szCs w:val="23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Sylfaen" w:hAnsi="Sylfaen" w:cs="Sylfaen"/>
      <w:color w:val="000000"/>
      <w:sz w:val="23"/>
      <w:szCs w:val="23"/>
      <w:u w:val="single"/>
    </w:rPr>
  </w:style>
  <w:style w:type="paragraph" w:styleId="BalloonText">
    <w:name w:val="Balloon Text"/>
    <w:basedOn w:val="Normal"/>
    <w:link w:val="BalloonTextChar"/>
    <w:uiPriority w:val="99"/>
    <w:pPr>
      <w:widowControl/>
      <w:spacing w:after="200" w:line="276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ind w:left="11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4379</Words>
  <Characters>24961</Characters>
  <Application>Microsoft Office Word</Application>
  <DocSecurity>0</DocSecurity>
  <Lines>208</Lines>
  <Paragraphs>58</Paragraphs>
  <ScaleCrop>false</ScaleCrop>
  <Company/>
  <LinksUpToDate>false</LinksUpToDate>
  <CharactersWithSpaces>29282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