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სამედიცინო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–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ექსპერტიზის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 xml:space="preserve"> I</w:t>
      </w:r>
    </w:p>
    <w:p w:rsidR="00000000" w:rsidRDefault="00B1588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დებულებანი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პროფილაქტიკა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სენსორული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(07.03.2014.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2102)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განაპირობეს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გადალახოს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en-US"/>
        </w:rPr>
        <w:t>(28.12.2011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5665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ანატომიური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3074)</w:t>
      </w:r>
      <w:r>
        <w:rPr>
          <w:rFonts w:ascii="Sylfaen" w:hAnsi="Sylfaen" w:cs="Sylfaen"/>
          <w:sz w:val="24"/>
          <w:szCs w:val="24"/>
          <w:lang w:val="en-US"/>
        </w:rPr>
        <w:t xml:space="preserve">        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ასპექტებს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აქედან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მომდინარეობის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წამყვან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ამოავლინოს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სრულფასოვან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სადიაგნოსტიკო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hAnsi="Sylfaen" w:cs="Sylfaen"/>
          <w:lang w:val="en-US"/>
        </w:rPr>
        <w:t>(28.12.2011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5665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დიაგნოსტიკის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4298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     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  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bookmarkStart w:id="0" w:name="part_12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3074)</w:t>
      </w:r>
    </w:p>
    <w:p w:rsidR="00000000" w:rsidRDefault="00B158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(11.12.2019 N5468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2020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იშნავს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B15886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lang w:val="en-US"/>
        </w:rPr>
      </w:pPr>
      <w:r>
        <w:rPr>
          <w:rFonts w:ascii="Sylfaen" w:eastAsia="Times New Roman" w:hAnsi="Sylfaen" w:cs="Sylfaen"/>
          <w:b w:val="0"/>
          <w:bCs w:val="0"/>
          <w:lang w:val="en-US"/>
        </w:rPr>
        <w:t>პირის</w:t>
      </w:r>
      <w:r>
        <w:rPr>
          <w:rFonts w:ascii="Sylfaen" w:eastAsia="Times New Roman" w:hAnsi="Sylfaen" w:cs="Sylfaen"/>
          <w:b w:val="0"/>
          <w:bCs w:val="0"/>
          <w:lang w:val="en-US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en-US"/>
        </w:rPr>
        <w:t>შესაძლებლობის</w:t>
      </w:r>
      <w:r>
        <w:rPr>
          <w:rFonts w:ascii="Sylfaen" w:eastAsia="Times New Roman" w:hAnsi="Sylfaen" w:cs="Sylfaen"/>
          <w:b w:val="0"/>
          <w:bCs w:val="0"/>
          <w:lang w:val="en-US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en-US"/>
        </w:rPr>
        <w:t>შეზღუდვის</w:t>
      </w:r>
    </w:p>
    <w:p w:rsidR="00000000" w:rsidRDefault="00B15886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lang w:val="en-US"/>
        </w:rPr>
      </w:pPr>
      <w:r>
        <w:rPr>
          <w:rFonts w:ascii="Sylfaen" w:eastAsia="Times New Roman" w:hAnsi="Sylfaen" w:cs="Sylfaen"/>
          <w:b w:val="0"/>
          <w:bCs w:val="0"/>
          <w:lang w:val="en-US"/>
        </w:rPr>
        <w:t>ცნება</w:t>
      </w:r>
      <w:r>
        <w:rPr>
          <w:rFonts w:ascii="Sylfaen" w:eastAsia="Times New Roman" w:hAnsi="Sylfaen" w:cs="Sylfaen"/>
          <w:b w:val="0"/>
          <w:bCs w:val="0"/>
          <w:lang w:val="en-US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en-US"/>
        </w:rPr>
        <w:t>და</w:t>
      </w:r>
      <w:r>
        <w:rPr>
          <w:rFonts w:ascii="Sylfaen" w:eastAsia="Times New Roman" w:hAnsi="Sylfaen" w:cs="Sylfaen"/>
          <w:b w:val="0"/>
          <w:bCs w:val="0"/>
          <w:lang w:val="en-US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val="en-US"/>
        </w:rPr>
        <w:t>კატეგორიები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სენსორული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(07.03.2014.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2102)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3074)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3074)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ანატომიური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დეფექტისა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ანატომიური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№3074)</w:t>
      </w:r>
    </w:p>
    <w:p w:rsidR="00000000" w:rsidRDefault="00B1588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</w:t>
      </w:r>
    </w:p>
    <w:p w:rsidR="00000000" w:rsidRDefault="00B1588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</w:p>
    <w:p w:rsidR="00000000" w:rsidRDefault="00B1588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</w:t>
      </w:r>
    </w:p>
    <w:p w:rsidR="00000000" w:rsidRDefault="00B1588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შექცევადი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მორფოლოგიური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პროგნოზიდან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შეუქცევადი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მორფოლოგიური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       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მამაკაცს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en-US"/>
        </w:rPr>
        <w:t xml:space="preserve">(23.07.2003.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2573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hAnsi="Sylfaen" w:cs="Sylfaen"/>
          <w:lang w:val="en-US"/>
        </w:rPr>
        <w:t xml:space="preserve"> 2004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ჩერნობილის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ატომური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ელექტროსადგურისა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სხივური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გადაცილებულ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კეთილსაიმედო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პროგნოზი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სახეზეა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შექცევადი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მორფოლოგიური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ანატომიური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№3074)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გადამოწმება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უვადოდ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ეჭვის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</w:t>
      </w:r>
      <w:r>
        <w:rPr>
          <w:rFonts w:ascii="Sylfaen" w:eastAsia="Times New Roman" w:hAnsi="Sylfaen" w:cs="Sylfaen"/>
          <w:lang w:val="en-US"/>
        </w:rPr>
        <w:t>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დაუსაბუთებლად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გამოიძახოს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>(27.12.2011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5629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        </w:t>
      </w:r>
    </w:p>
    <w:p w:rsidR="00000000" w:rsidRDefault="00B15886">
      <w:pPr>
        <w:pStyle w:val="Heading6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hAnsi="Sylfaen" w:cs="Sylfaen"/>
          <w:b w:val="0"/>
          <w:bCs w:val="0"/>
          <w:sz w:val="24"/>
          <w:szCs w:val="24"/>
          <w:lang w:val="en-US"/>
        </w:rPr>
      </w:pPr>
    </w:p>
    <w:p w:rsidR="00000000" w:rsidRDefault="00B15886">
      <w:pPr>
        <w:pStyle w:val="Heading6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 xml:space="preserve"> IV</w:t>
      </w:r>
    </w:p>
    <w:p w:rsidR="00000000" w:rsidRDefault="00B15886">
      <w:pPr>
        <w:pStyle w:val="Heading6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მიზეზები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ჩერნობილის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ელექტროსადგურისა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წასვლისას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მოსაწესრიგებლად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გადარჩენისას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მწვავე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ქრონიკული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განუვითარდა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თადარიგის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სუვერენიტეტის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ლოკალურ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კონტუზიას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დემობილიზაციიდან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დემობილიზაციიდან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დემობილიზაციიდან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ჩერნობილის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ატომური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განიცადა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 xml:space="preserve"> V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 xml:space="preserve">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წამოსვლის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60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ხიჩრებისას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მოსწავლეს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აზუსტებს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 (</w:t>
      </w:r>
      <w:r>
        <w:rPr>
          <w:rFonts w:ascii="Sylfaen" w:hAnsi="Sylfaen" w:cs="Sylfaen"/>
          <w:lang w:val="en-US"/>
        </w:rPr>
        <w:t xml:space="preserve">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70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სამოცდაათი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ოცდახუთი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)-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60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სდევს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წინანდელზე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დაძაბულობით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ოცდახუთ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შეუქცევადი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გადაცილებუ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კეთილსაიმედო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პროგნოზისა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სახეზეა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შექცევადი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მორფოლოგიური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დაუსაბუთებლად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en-US"/>
        </w:rPr>
        <w:t xml:space="preserve"> VI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n-US"/>
        </w:rPr>
        <w:t xml:space="preserve">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4298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საჭიროებისამებრ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სისწორეს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en-US"/>
        </w:rPr>
      </w:pP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Times New Roman" w:hAnsi="Times New Roman" w:cs="Times New Roma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4298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en-US"/>
        </w:rPr>
        <w:t>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ეჭვის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არასწორად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ჩერდება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29 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4298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32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>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4298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34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35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36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37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38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VII</w:t>
      </w: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ექსპე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40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41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43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44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45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მომდინარეობის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დასახიჩრებასთან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ფრონტზე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მარჩენალის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გასავრცელებლად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სავარძელ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ველოეტლი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აღმოუჩინოს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შესამოწმებელ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პროფილაქტიკისა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თათბირებსა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სემინარებში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წვევამდელის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კომისარიატს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ავადმყოფის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ავადმყოფის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შესამოწმებლად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en-US"/>
        </w:rPr>
      </w:pP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47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4298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გააგზავნოს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დიაგნოზის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დაზუსტებისა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გაუგრძელოს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VIII</w:t>
      </w: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49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ანატომიური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დეფექტის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51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ავადმყოფს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ძნელად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52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სადიაგნოსტიკო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ტრავმით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დეფექტით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კომპენსატორული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53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54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</w:t>
      </w:r>
      <w:r>
        <w:rPr>
          <w:rFonts w:ascii="Sylfaen" w:eastAsia="Times New Roman" w:hAnsi="Sylfaen" w:cs="Sylfaen"/>
          <w:lang w:val="en-US"/>
        </w:rPr>
        <w:t>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55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bookmarkStart w:id="1" w:name="part_66"/>
      <w:bookmarkEnd w:id="1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№3074)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58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(29.12.2006. </w:t>
      </w:r>
      <w:r>
        <w:rPr>
          <w:rFonts w:ascii="Sylfaen" w:eastAsia="Times New Roman" w:hAnsi="Sylfaen" w:cs="Sylfaen"/>
          <w:i/>
          <w:iCs/>
          <w:lang w:val="en-US"/>
        </w:rPr>
        <w:t>№</w:t>
      </w:r>
      <w:r>
        <w:rPr>
          <w:rFonts w:ascii="Sylfaen" w:hAnsi="Sylfaen" w:cs="Sylfaen"/>
          <w:i/>
          <w:iCs/>
          <w:lang w:val="en-US"/>
        </w:rPr>
        <w:t xml:space="preserve">4298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2007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59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(23.07.2003.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2573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60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4298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სისწორე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62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(23.07.2003.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2573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IX</w:t>
      </w:r>
    </w:p>
    <w:p w:rsidR="00000000" w:rsidRDefault="00B15886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63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ანატომიური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დეფექტების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გაუვიდათ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შეუნარჩუნდეთ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>(16.03.2007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4500)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(29.12.2006.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4298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63</w:t>
      </w:r>
      <w:r>
        <w:rPr>
          <w:rFonts w:ascii="Sylfaen" w:hAnsi="Sylfaen" w:cs="Sylfaen"/>
          <w:position w:val="18"/>
          <w:sz w:val="24"/>
          <w:szCs w:val="24"/>
          <w:lang w:val="en-US"/>
        </w:rPr>
        <w:t>1</w:t>
      </w:r>
      <w:r>
        <w:rPr>
          <w:rFonts w:ascii="Sylfaen" w:hAnsi="Sylfaen" w:cs="Sylfaen"/>
          <w:position w:val="12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>(27.12.2011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5629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რეორგანიზებულ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ქმნას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ანალოგიური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ფუნქციებისა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ჩაი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თვალოს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უფლებამონაცვლედ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bookmarkStart w:id="2" w:name="OLE_LINK1"/>
      <w:bookmarkEnd w:id="2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წარმომადგენლობაზე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დანიშვნა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2012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კანონმდებლ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B1588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ფუნქციონირებისათვის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2012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შეუნარჩუნდეს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64</w:t>
      </w:r>
    </w:p>
    <w:p w:rsidR="00000000" w:rsidRDefault="00B158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/>
          <w:bCs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lang w:val="en-US"/>
        </w:rPr>
        <w:t>№</w:t>
      </w:r>
      <w:r>
        <w:rPr>
          <w:rFonts w:ascii="Sylfaen" w:hAnsi="Sylfaen" w:cs="Sylfaen"/>
          <w:b/>
          <w:bCs/>
          <w:lang w:val="en-US"/>
        </w:rPr>
        <w:t xml:space="preserve">4298 </w:t>
      </w:r>
      <w:r>
        <w:rPr>
          <w:rFonts w:ascii="Sylfaen" w:eastAsia="Times New Roman" w:hAnsi="Sylfaen" w:cs="Sylfaen"/>
          <w:b/>
          <w:bCs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lang w:val="en-US"/>
        </w:rPr>
        <w:t xml:space="preserve"> 2007 </w:t>
      </w:r>
      <w:r>
        <w:rPr>
          <w:rFonts w:ascii="Sylfaen" w:eastAsia="Times New Roman" w:hAnsi="Sylfaen" w:cs="Sylfaen"/>
          <w:b/>
          <w:bCs/>
          <w:lang w:val="en-US"/>
        </w:rPr>
        <w:t>წლის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lang w:val="en-US"/>
        </w:rPr>
        <w:t>იან</w:t>
      </w:r>
      <w:r>
        <w:rPr>
          <w:rFonts w:ascii="Sylfaen" w:eastAsia="Times New Roman" w:hAnsi="Sylfaen" w:cs="Sylfaen"/>
          <w:b/>
          <w:bCs/>
          <w:lang w:val="en-US"/>
        </w:rPr>
        <w:t>ვრიდან</w:t>
      </w:r>
      <w:r>
        <w:rPr>
          <w:rFonts w:ascii="Sylfaen" w:eastAsia="Times New Roman" w:hAnsi="Sylfaen" w:cs="Sylfaen"/>
          <w:b/>
          <w:bCs/>
          <w:lang w:val="en-US"/>
        </w:rPr>
        <w:t>)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.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</w:p>
    <w:p w:rsidR="00000000" w:rsidRDefault="00B15886">
      <w:pPr>
        <w:pStyle w:val="Foot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2001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B15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sz w:val="24"/>
          <w:szCs w:val="24"/>
          <w:lang w:val="en-US"/>
        </w:rPr>
        <w:t>1172 - 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B15886">
      <w:pPr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5886"/>
    <w:rsid w:val="00B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360" w:lineRule="auto"/>
      <w:ind w:left="720"/>
      <w:outlineLvl w:val="0"/>
    </w:pPr>
    <w:rPr>
      <w:rFonts w:ascii="AcadMtavr" w:hAnsi="AcadMtavr" w:cs="AcadMtavr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firstLine="720"/>
      <w:jc w:val="center"/>
      <w:outlineLvl w:val="1"/>
    </w:pPr>
    <w:rPr>
      <w:rFonts w:ascii="AcadMtavr" w:hAnsi="AcadMtavr" w:cs="AcadMtav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360" w:lineRule="auto"/>
      <w:outlineLvl w:val="2"/>
    </w:pPr>
    <w:rPr>
      <w:rFonts w:ascii="AcadMtavr" w:hAnsi="AcadMtavr" w:cs="AcadMtavr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360" w:lineRule="auto"/>
      <w:jc w:val="center"/>
      <w:outlineLvl w:val="3"/>
    </w:pPr>
    <w:rPr>
      <w:rFonts w:ascii="LitNusx" w:hAnsi="LitNusx" w:cs="LitNusx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jc w:val="center"/>
      <w:outlineLvl w:val="4"/>
    </w:pPr>
    <w:rPr>
      <w:rFonts w:ascii="AcadMtavr" w:hAnsi="AcadMtavr" w:cs="AcadMtavr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360" w:lineRule="auto"/>
      <w:ind w:left="709"/>
      <w:jc w:val="center"/>
      <w:outlineLvl w:val="5"/>
    </w:pPr>
    <w:rPr>
      <w:rFonts w:ascii="LitNusx" w:hAnsi="LitNusx" w:cs="LitNusx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  <w:rPr>
      <w:rFonts w:ascii="LitNusx" w:hAnsi="LitNusx" w:cs="LitNusx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720"/>
    </w:pPr>
    <w:rPr>
      <w:rFonts w:ascii="AcadNusx" w:hAnsi="AcadNusx" w:cs="AcadNusx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5083</Words>
  <Characters>28979</Characters>
  <Application>Microsoft Office Word</Application>
  <DocSecurity>0</DocSecurity>
  <Lines>241</Lines>
  <Paragraphs>67</Paragraphs>
  <ScaleCrop>false</ScaleCrop>
  <Company/>
  <LinksUpToDate>false</LinksUpToDate>
  <CharactersWithSpaces>33995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