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არქიტექტურული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ცხოვრებისათვის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სრულყოფილი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ეკოლოგიურად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ესთეტიკური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არქიტექტორი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საარსებო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ფორმასა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კონტექსტში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პასუხს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ასპექტების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გამოსახვაზე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-</w:t>
      </w:r>
      <w:r>
        <w:rPr>
          <w:rFonts w:ascii="Sylfaen" w:eastAsia="Times New Roman" w:hAnsi="Sylfaen" w:cs="Sylfaen"/>
          <w:lang w:val="en-US"/>
        </w:rPr>
        <w:t>არქიტექტორის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ინტერიერის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სივრცობრივ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გეგმარებითი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მხატვრული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საინჟინრო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დაპროექტების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ციკლის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გაძღოლა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D9444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</w:t>
      </w:r>
      <w:r>
        <w:rPr>
          <w:rFonts w:ascii="Sylfaen" w:eastAsia="Times New Roman" w:hAnsi="Sylfaen" w:cs="Sylfaen"/>
          <w:lang w:val="ka-GE" w:eastAsia="ka-GE"/>
        </w:rPr>
        <w:t>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№321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lang w:val="ka-GE" w:eastAsia="ka-GE"/>
        </w:rPr>
        <w:t>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№321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კომპლექსი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ინტერიერი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ლანდშაფტური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საბაღე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საპარკო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განაშენიანება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ჩაუტარდა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რეკონსტრუქცია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რეგენერაცია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№321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lastRenderedPageBreak/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№321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eastAsia="x-none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№321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№321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მომზადება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სჭირდება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გაძღოლა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№321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20.12.2019 N5694)</w:t>
      </w:r>
    </w:p>
    <w:p w:rsidR="00000000" w:rsidRDefault="00D9444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№321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</w:t>
      </w:r>
      <w:r>
        <w:rPr>
          <w:rFonts w:ascii="Sylfaen" w:eastAsia="Times New Roman" w:hAnsi="Sylfaen" w:cs="Sylfaen"/>
          <w:lang w:val="ka-GE" w:eastAsia="ka-GE"/>
        </w:rPr>
        <w:t>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</w:t>
      </w:r>
      <w:r>
        <w:rPr>
          <w:rFonts w:ascii="Sylfaen" w:eastAsia="Times New Roman" w:hAnsi="Sylfaen" w:cs="Sylfaen"/>
          <w:lang w:val="ka-GE" w:eastAsia="ka-GE"/>
        </w:rPr>
        <w:t>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არქიტექტორთა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განხორციელებისას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არქიტექტორის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არქიტექტორს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დაპროექტებისა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ასაშენებლად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არქიტექტორი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არქიტექტორი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დაპროექტებისა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</w:t>
      </w:r>
      <w:r>
        <w:rPr>
          <w:rFonts w:ascii="Sylfaen" w:eastAsia="Times New Roman" w:hAnsi="Sylfaen" w:cs="Sylfaen"/>
          <w:lang w:val="ka-GE" w:eastAsia="ka-GE"/>
        </w:rPr>
        <w:t>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არქიტექტორს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</w:t>
      </w:r>
      <w:r>
        <w:rPr>
          <w:rFonts w:ascii="Sylfaen" w:eastAsia="Times New Roman" w:hAnsi="Sylfaen" w:cs="Sylfaen"/>
          <w:lang w:val="ka-GE" w:eastAsia="ka-GE"/>
        </w:rPr>
        <w:t>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მენარდე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ჟიურის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პირებზედაც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D9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არქიტექტურისა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N6986)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</w:t>
      </w:r>
      <w:r>
        <w:rPr>
          <w:rFonts w:ascii="Sylfaen" w:eastAsia="Times New Roman" w:hAnsi="Sylfaen" w:cs="Sylfaen"/>
          <w:b/>
          <w:bCs/>
          <w:lang w:val="en-US"/>
        </w:rPr>
        <w:t>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საავტორო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არქიტექტურულ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ნაწარმოებზე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არქიტექტურულ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შექმნისას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არქიტექტურულ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ხელმძღვანელობენ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დაპროექტებისა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აკონტროლებენ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ჩაითვალონ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ავტორებად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დამკვეთი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არქიტექტო</w:t>
      </w:r>
      <w:r>
        <w:rPr>
          <w:rFonts w:ascii="Sylfaen" w:eastAsia="Times New Roman" w:hAnsi="Sylfaen" w:cs="Sylfaen"/>
          <w:lang w:val="en-US"/>
        </w:rPr>
        <w:t>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გააფორმოს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გამრავლების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ჰონორარის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ამასთან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6.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7.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ვიდეოგადაღება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</w:t>
      </w:r>
      <w:r>
        <w:rPr>
          <w:rFonts w:ascii="Sylfaen" w:eastAsia="Times New Roman" w:hAnsi="Sylfaen" w:cs="Sylfaen"/>
          <w:lang w:val="en-US"/>
        </w:rPr>
        <w:t>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ნაწარმოებზე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ნაწარმოებზე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ეკუთვნის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არქიტექტუ</w:t>
      </w:r>
      <w:r>
        <w:rPr>
          <w:rFonts w:ascii="Sylfaen" w:eastAsia="Times New Roman" w:hAnsi="Sylfaen" w:cs="Sylfaen"/>
          <w:b/>
          <w:bCs/>
          <w:lang w:val="en-US"/>
        </w:rPr>
        <w:t>რულ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პროექტში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არქიტექტურულ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ობიექტში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ცვლილებების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შეტანა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D9444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№321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D9444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არქიტექტურულ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ფუნქციური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იერსახის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საპროექტო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განპირობებული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</w:t>
      </w:r>
    </w:p>
    <w:p w:rsidR="00000000" w:rsidRDefault="00D9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არქიტექტურისა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ქალაქთმშენებლობის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არქიტექტორთა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კავშირების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კომპეტენცია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15.07.2020 N6986)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არქიტექტურისა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კომ</w:t>
      </w:r>
      <w:r>
        <w:rPr>
          <w:rFonts w:ascii="Sylfaen" w:eastAsia="Times New Roman" w:hAnsi="Sylfaen" w:cs="Sylfaen"/>
          <w:lang w:val="en-US"/>
        </w:rPr>
        <w:t>პეტენცია</w:t>
      </w:r>
      <w:r>
        <w:rPr>
          <w:rFonts w:ascii="Sylfaen" w:eastAsia="Times New Roman" w:hAnsi="Sylfaen" w:cs="Sylfaen"/>
          <w:lang w:val="en-US"/>
        </w:rPr>
        <w:t xml:space="preserve">  </w:t>
      </w:r>
    </w:p>
    <w:p w:rsidR="00000000" w:rsidRDefault="00D9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არქიტექტურისა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N6986)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არქიტექტურისა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</w:t>
      </w:r>
      <w:r>
        <w:rPr>
          <w:rFonts w:ascii="Sylfaen" w:eastAsia="Times New Roman" w:hAnsi="Sylfaen" w:cs="Sylfaen"/>
          <w:lang w:val="en-US"/>
        </w:rPr>
        <w:t>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მუნიციპალიტეტში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</w:t>
      </w:r>
      <w:r>
        <w:rPr>
          <w:rFonts w:ascii="Sylfaen" w:eastAsia="Times New Roman" w:hAnsi="Sylfaen" w:cs="Sylfaen"/>
          <w:lang w:val="en-US"/>
        </w:rPr>
        <w:t>ქტურისა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არქიტექტორი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(15.07.202</w:t>
      </w:r>
      <w:r>
        <w:rPr>
          <w:rFonts w:ascii="Sylfaen" w:hAnsi="Sylfaen" w:cs="Sylfaen"/>
          <w:sz w:val="20"/>
          <w:szCs w:val="20"/>
          <w:lang w:val="en-US"/>
        </w:rPr>
        <w:t>0 N6986)</w:t>
      </w:r>
    </w:p>
    <w:p w:rsidR="00000000" w:rsidRDefault="00D9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გეგმარებითი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ცენზისა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N6986)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        </w:t>
      </w: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საზოგადოებრიობისათვის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         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არქიტექტორთა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არქიტექტორები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ემოქმედებითი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კოლეგიალური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მოგვარების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არქიტექტორთა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</w:t>
      </w:r>
      <w:r>
        <w:rPr>
          <w:rFonts w:ascii="Sylfaen" w:eastAsia="Times New Roman" w:hAnsi="Sylfaen" w:cs="Sylfaen"/>
          <w:lang w:val="en-US"/>
        </w:rPr>
        <w:t>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არქიტექტორთა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არქიტექტურისა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არქიტექტორთა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კავშირებთან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N6986)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VIII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დარღვევისათვის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19.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IX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hAnsi="Sylfaen" w:cs="Sylfaen"/>
          <w:b/>
          <w:bCs/>
          <w:i/>
          <w:iCs/>
          <w:lang w:val="en-US"/>
        </w:rPr>
        <w:tab/>
      </w:r>
      <w:r>
        <w:rPr>
          <w:rFonts w:ascii="Sylfaen" w:hAnsi="Sylfaen" w:cs="Sylfaen"/>
          <w:b/>
          <w:bCs/>
          <w:i/>
          <w:iCs/>
          <w:lang w:val="en-US"/>
        </w:rPr>
        <w:tab/>
      </w:r>
      <w:r>
        <w:rPr>
          <w:rFonts w:ascii="Sylfaen" w:hAnsi="Sylfaen" w:cs="Sylfaen"/>
          <w:b/>
          <w:bCs/>
          <w:i/>
          <w:iCs/>
          <w:lang w:val="en-US"/>
        </w:rPr>
        <w:tab/>
        <w:t xml:space="preserve">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1998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14 </w:t>
      </w:r>
      <w:r>
        <w:rPr>
          <w:rFonts w:ascii="Sylfaen" w:eastAsia="Times New Roman" w:hAnsi="Sylfaen" w:cs="Sylfaen"/>
          <w:lang w:val="en-US"/>
        </w:rPr>
        <w:t>აპრილი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№1335 - II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D9444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D9444D">
      <w:pPr>
        <w:rPr>
          <w:rFonts w:ascii="Calibri" w:hAnsi="Calibri" w:cs="Calibri"/>
          <w:lang w:val="en-US"/>
        </w:rPr>
      </w:pPr>
    </w:p>
    <w:p w:rsidR="00000000" w:rsidRDefault="00D9444D">
      <w:pPr>
        <w:rPr>
          <w:rFonts w:ascii="Calibri" w:hAnsi="Calibri" w:cs="Calibri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444D"/>
    <w:rsid w:val="00D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widowControl w:val="0"/>
      <w:ind w:left="673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