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812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10B3071E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F24D5CD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032AF364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1C7F59B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№12, 1984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421)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0F261095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კოდექსს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დაემატოს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256E35E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„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158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ტოტალიზატორის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ლოტოს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ბინგოს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ტოტალიზატორის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ლოტოს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ბინგოს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რეკლამის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გავრცე</w:t>
      </w:r>
      <w:r>
        <w:rPr>
          <w:rFonts w:ascii="Sylfaen" w:eastAsia="Times New Roman" w:hAnsi="Sylfaen" w:cs="Sylfaen"/>
          <w:b/>
          <w:bCs/>
          <w:lang w:val="en-US"/>
        </w:rPr>
        <w:t>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პროგრამაში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საქონლის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აბრის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A5D72AE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</w:t>
      </w:r>
      <w:r>
        <w:rPr>
          <w:rFonts w:ascii="Sylfaen" w:eastAsia="Times New Roman" w:hAnsi="Sylfaen" w:cs="Sylfaen"/>
          <w:lang w:val="en-US"/>
        </w:rPr>
        <w:t>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E05356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8DEB975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37DC62D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286BD0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3. „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სასპონსორო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BCDEA2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ascii="Sylfaen" w:eastAsia="Times New Roman" w:hAnsi="Sylfaen" w:cs="Sylfaen"/>
          <w:lang w:val="en-US"/>
        </w:rPr>
        <w:t xml:space="preserve">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0B5BF0C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76F132B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B3F0A00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კვირის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დაედო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გასამმაგებას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5C6F7060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2. 176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t>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A36EC91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„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25 </w:t>
      </w:r>
      <w:r>
        <w:rPr>
          <w:rFonts w:ascii="Sylfaen" w:eastAsia="Times New Roman" w:hAnsi="Sylfaen" w:cs="Sylfaen"/>
          <w:b/>
          <w:bCs/>
          <w:lang w:val="en-US"/>
        </w:rPr>
        <w:t>წლამდე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ასაკის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18 </w:t>
      </w:r>
      <w:r>
        <w:rPr>
          <w:rFonts w:ascii="Sylfaen" w:eastAsia="Times New Roman" w:hAnsi="Sylfaen" w:cs="Sylfaen"/>
          <w:b/>
          <w:bCs/>
          <w:lang w:val="en-US"/>
        </w:rPr>
        <w:t>წლამდე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ასაკის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გარდა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წამახალისებელი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გათამაშებისა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სათამაშოდ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</w:t>
      </w:r>
      <w:r>
        <w:rPr>
          <w:rFonts w:ascii="Sylfaen" w:eastAsia="Times New Roman" w:hAnsi="Sylfaen" w:cs="Sylfaen"/>
          <w:b/>
          <w:bCs/>
          <w:lang w:val="en-US"/>
        </w:rPr>
        <w:t>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სისტემურ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მონაწილეობისთვის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681E3A6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softHyphen/>
        <w:t xml:space="preserve"> </w:t>
      </w:r>
    </w:p>
    <w:p w14:paraId="6AB3AFC6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A6B32C6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4D87825D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62A0F89C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კოდექსს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დაემატოს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46E55CF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„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დამოკიდებუ</w:t>
      </w:r>
      <w:r>
        <w:rPr>
          <w:rFonts w:ascii="Sylfaen" w:eastAsia="Times New Roman" w:hAnsi="Sylfaen" w:cs="Sylfaen"/>
          <w:b/>
          <w:bCs/>
          <w:lang w:val="en-US"/>
        </w:rPr>
        <w:t>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აკრძალულ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შეყვანილი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გარდა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წამახალისებელი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გათამაშებისა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სათამაშოდ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სისტემურ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მონაწილეობისთვის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27DEB793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6353FEC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E1F914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</w:t>
      </w:r>
      <w:r>
        <w:rPr>
          <w:rFonts w:ascii="Sylfaen" w:eastAsia="Times New Roman" w:hAnsi="Sylfaen" w:cs="Sylfaen"/>
          <w:lang w:val="en-US"/>
        </w:rPr>
        <w:t>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6F1D64E1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55B40C2A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4. 208-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(17.02.2022 N1393)</w:t>
      </w:r>
    </w:p>
    <w:p w14:paraId="77438DFB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208. </w:t>
      </w:r>
      <w:r>
        <w:rPr>
          <w:rFonts w:ascii="Sylfaen" w:eastAsia="Times New Roman" w:hAnsi="Sylfaen" w:cs="Sylfaen"/>
          <w:b/>
          <w:bCs/>
          <w:lang w:val="en-US"/>
        </w:rPr>
        <w:t>რაიონული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საქალაქო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განსჯადი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5AAD782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43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, 45-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46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155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-11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-20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-3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165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-9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-18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</w:t>
      </w:r>
      <w:r>
        <w:rPr>
          <w:rFonts w:ascii="Sylfaen" w:eastAsia="Times New Roman" w:hAnsi="Sylfaen" w:cs="Sylfaen"/>
          <w:lang w:val="en-US"/>
        </w:rPr>
        <w:t xml:space="preserve">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182-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.“ </w:t>
      </w:r>
    </w:p>
    <w:p w14:paraId="361A83D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5. 209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240EBC8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FA22A3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 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–107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 xml:space="preserve">4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0B3AD35B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ACB0D44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0AC8E74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lang w:val="en-US"/>
        </w:rPr>
        <w:t>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585D9F7A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6. 219-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ABC01DC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(17.02.2022 N1393)</w:t>
      </w:r>
    </w:p>
    <w:p w14:paraId="39A01609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პირველი−მე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-7, 8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​​​​​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-2, 3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, 191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4D7A2B30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(17.02.2022 N1393)</w:t>
      </w:r>
    </w:p>
    <w:p w14:paraId="62D7BB0F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lang w:val="en-US"/>
        </w:rPr>
        <w:t>​​​​​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-7, 8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>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.“;“. </w:t>
      </w:r>
    </w:p>
    <w:p w14:paraId="09301A80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15755122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0B63468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</w:t>
      </w:r>
      <w:r>
        <w:rPr>
          <w:rFonts w:ascii="Sylfaen" w:eastAsia="Times New Roman" w:hAnsi="Sylfaen" w:cs="Sylfaen"/>
          <w:lang w:val="en-US"/>
        </w:rPr>
        <w:t>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79055651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7. 239-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CCD47C7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-19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A477BED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„19.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336A1CBF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8DDA993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„2</w:t>
      </w: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 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.“; </w:t>
      </w:r>
    </w:p>
    <w:p w14:paraId="3ABF2C3E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53111712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„72.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171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</w:t>
      </w:r>
      <w:r>
        <w:rPr>
          <w:rFonts w:ascii="Sylfaen" w:eastAsia="Times New Roman" w:hAnsi="Sylfaen" w:cs="Sylfaen"/>
          <w:lang w:val="en-US"/>
        </w:rPr>
        <w:t>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ადრესატისთვის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51AEF17E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8. 242-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ჩამოყალიბდეს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რედაქციით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3F735474" w14:textId="77777777" w:rsidR="00000000" w:rsidRDefault="0054141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გამოეწერება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467BAC46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8CD3DF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2A8CEB4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010EAE2E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2B3CC592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557447FB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8FA5AA2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N1190-VII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-X</w:t>
      </w:r>
      <w:r>
        <w:rPr>
          <w:rFonts w:ascii="Sylfaen" w:eastAsia="Times New Roman" w:hAnsi="Sylfaen" w:cs="Sylfaen"/>
          <w:sz w:val="24"/>
          <w:szCs w:val="24"/>
          <w:lang w:val="en-US"/>
        </w:rPr>
        <w:t>მპ</w:t>
      </w:r>
    </w:p>
    <w:p w14:paraId="6773F754" w14:textId="77777777" w:rsidR="00000000" w:rsidRDefault="0054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1416"/>
    <w:rsid w:val="005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EB6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2138</Words>
  <Characters>12192</Characters>
  <Application>Microsoft Office Word</Application>
  <DocSecurity>0</DocSecurity>
  <Lines>101</Lines>
  <Paragraphs>28</Paragraphs>
  <ScaleCrop>false</ScaleCrop>
  <Company/>
  <LinksUpToDate>false</LinksUpToDate>
  <CharactersWithSpaces>14302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