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  <w:lang w:eastAsia="x-none"/>
        </w:rPr>
        <w:t xml:space="preserve"> 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20.11.2013. 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მიზნები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ინსტიტუციურ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დაბალანსება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ფასწარმ</w:t>
      </w:r>
      <w:r>
        <w:rPr>
          <w:rFonts w:ascii="Sylfaen" w:eastAsia="Times New Roman" w:hAnsi="Sylfaen" w:cs="Sylfaen"/>
          <w:lang w:val="ka-GE" w:eastAsia="ka-GE"/>
        </w:rPr>
        <w:t>ოქმნა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ზეწოლისაგან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</w:t>
      </w:r>
      <w:r>
        <w:rPr>
          <w:rFonts w:ascii="Sylfaen" w:eastAsia="Times New Roman" w:hAnsi="Sylfaen" w:cs="Sylfaen"/>
          <w:lang w:val="ka-GE" w:eastAsia="ka-GE"/>
        </w:rPr>
        <w:t>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ტერმინთა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განმარტება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მსჯელობებზე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.); (20.11.2013. N1584)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</w:t>
      </w:r>
      <w:r>
        <w:rPr>
          <w:rFonts w:ascii="Sylfaen" w:eastAsia="Times New Roman" w:hAnsi="Sylfaen" w:cs="Sylfaen"/>
          <w:lang w:val="ka-GE" w:eastAsia="ka-GE"/>
        </w:rPr>
        <w:t>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გამოიკვლიოს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</w:t>
      </w:r>
      <w:r>
        <w:rPr>
          <w:rFonts w:ascii="Sylfaen" w:eastAsia="Times New Roman" w:hAnsi="Sylfaen" w:cs="Sylfaen"/>
          <w:lang w:val="ka-GE" w:eastAsia="ka-GE"/>
        </w:rPr>
        <w:t>თხები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>(20.11.20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ვრი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ზეწოლა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უფლებაუნარიანობა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</w:t>
      </w:r>
      <w:r>
        <w:rPr>
          <w:rFonts w:ascii="Sylfaen" w:eastAsia="Times New Roman" w:hAnsi="Sylfaen" w:cs="Sylfaen"/>
          <w:lang w:val="ka-GE" w:eastAsia="ka-GE"/>
        </w:rPr>
        <w:t>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იქონიოს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სამა</w:t>
      </w:r>
      <w:r>
        <w:rPr>
          <w:rFonts w:ascii="Sylfaen" w:eastAsia="Times New Roman" w:hAnsi="Sylfaen" w:cs="Sylfaen"/>
          <w:lang w:val="en-US"/>
        </w:rPr>
        <w:t>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6969)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(22.07.2003.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2535)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პრინციპები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</w:t>
      </w:r>
      <w:r>
        <w:rPr>
          <w:rFonts w:ascii="Sylfaen" w:eastAsia="Times New Roman" w:hAnsi="Sylfaen" w:cs="Sylfaen"/>
          <w:lang w:val="ka-GE" w:eastAsia="ka-GE"/>
        </w:rPr>
        <w:t>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გამიჯვნა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პირისაგან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(20.12.2019 N56</w:t>
      </w:r>
      <w:r>
        <w:rPr>
          <w:rFonts w:ascii="Sylfaen" w:hAnsi="Sylfaen" w:cs="Sylfaen"/>
          <w:sz w:val="20"/>
          <w:szCs w:val="20"/>
          <w:lang w:val="ka-GE" w:eastAsia="ka-GE"/>
        </w:rPr>
        <w:t>49)</w:t>
      </w:r>
    </w:p>
    <w:p w:rsidR="00000000" w:rsidRDefault="00226B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დასაქმებული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ზეგავლენისაგან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(20.12.2019 N5649)</w:t>
      </w:r>
    </w:p>
    <w:p w:rsidR="00000000" w:rsidRDefault="00226B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>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განცალკევებული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ადეკვატური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(20.12.2019 N5649)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IX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მახასიათებლები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</w:t>
      </w:r>
      <w:r>
        <w:rPr>
          <w:rFonts w:ascii="Sylfaen" w:eastAsia="Times New Roman" w:hAnsi="Sylfaen" w:cs="Sylfaen"/>
          <w:lang w:val="ka-GE" w:eastAsia="ka-GE"/>
        </w:rPr>
        <w:t>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რწმენის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უმოქმედობის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დამოუკიდებლობა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თანხვდენილი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კონსულტ</w:t>
      </w:r>
      <w:r>
        <w:rPr>
          <w:rFonts w:ascii="Sylfaen" w:eastAsia="Times New Roman" w:hAnsi="Sylfaen" w:cs="Sylfaen"/>
          <w:lang w:val="ka-GE" w:eastAsia="ka-GE"/>
        </w:rPr>
        <w:t>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ასოციაციებთან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ფინანსური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>მოუკიდებლობა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ბიუჯეტი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სპონსორობის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1932)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ასოციაციებსა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1932)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20.11.2013.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</w:t>
      </w:r>
      <w:r>
        <w:rPr>
          <w:rFonts w:ascii="Sylfaen" w:eastAsia="Times New Roman" w:hAnsi="Sylfaen" w:cs="Sylfaen"/>
          <w:lang w:val="ka-GE" w:eastAsia="ka-GE"/>
        </w:rPr>
        <w:t>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1796)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1796)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არეგულიროს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lang w:val="ka-GE" w:eastAsia="ka-GE"/>
        </w:rPr>
        <w:t>დავების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</w:t>
      </w:r>
      <w:r>
        <w:rPr>
          <w:rFonts w:ascii="Sylfaen" w:eastAsia="Times New Roman" w:hAnsi="Sylfaen" w:cs="Sylfaen"/>
          <w:lang w:val="ka-GE" w:eastAsia="ka-GE"/>
        </w:rPr>
        <w:t>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</w:p>
    <w:p w:rsidR="00000000" w:rsidRDefault="00226B6A">
      <w:pPr>
        <w:pStyle w:val="Normal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</w:t>
      </w:r>
      <w:r>
        <w:rPr>
          <w:rFonts w:ascii="Sylfaen" w:eastAsia="Times New Roman" w:hAnsi="Sylfaen" w:cs="Sylfaen"/>
          <w:lang w:val="ka-GE" w:eastAsia="ka-GE"/>
        </w:rPr>
        <w:t>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>2.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ოსმენას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6.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7.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</w:t>
      </w:r>
      <w:r>
        <w:rPr>
          <w:rFonts w:ascii="Sylfaen" w:eastAsia="Times New Roman" w:hAnsi="Sylfaen" w:cs="Sylfaen"/>
          <w:lang w:val="ka-GE" w:eastAsia="ka-GE"/>
        </w:rPr>
        <w:t>ატისგან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ყალიბდება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(22.07.2003.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2535)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საკადრო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1186)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</w:t>
      </w:r>
      <w:r>
        <w:rPr>
          <w:rFonts w:ascii="Sylfaen" w:eastAsia="Times New Roman" w:hAnsi="Sylfaen" w:cs="Sylfaen"/>
          <w:lang w:val="ka-GE" w:eastAsia="ka-GE"/>
        </w:rPr>
        <w:t>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გასამრჯელო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დააწინაუროს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</w:t>
      </w:r>
      <w:r>
        <w:rPr>
          <w:rFonts w:ascii="Sylfaen" w:eastAsia="Times New Roman" w:hAnsi="Sylfaen" w:cs="Sylfaen"/>
          <w:lang w:val="ka-GE" w:eastAsia="ka-GE"/>
        </w:rPr>
        <w:t>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დაწინაურების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</w:t>
      </w:r>
      <w:r>
        <w:rPr>
          <w:rFonts w:ascii="Sylfaen" w:eastAsia="Times New Roman" w:hAnsi="Sylfaen" w:cs="Sylfaen"/>
          <w:lang w:val="ka-GE" w:eastAsia="ka-GE"/>
        </w:rPr>
        <w:t>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დაწინაურების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ხალისებისა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26B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</w:t>
      </w:r>
      <w:r>
        <w:rPr>
          <w:rFonts w:ascii="Sylfaen" w:eastAsia="Times New Roman" w:hAnsi="Sylfaen" w:cs="Sylfaen"/>
          <w:lang w:val="en-US"/>
        </w:rPr>
        <w:t>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ორსულობის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მშობიარობის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ახალშობილის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დღეები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(20.12.2019 N5649)</w:t>
      </w:r>
    </w:p>
    <w:p w:rsidR="00000000" w:rsidRDefault="00226B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(20.12.2019 N5649)</w:t>
      </w:r>
    </w:p>
    <w:p w:rsidR="00000000" w:rsidRDefault="00226B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შეუთავსებლობისა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კორუფციის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შეუთავსებლობის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(20.12.2019 N5649)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გადადგომა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lang w:val="ka-GE" w:eastAsia="ka-GE"/>
        </w:rPr>
        <w:t>ეთიკის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>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ეთიკასთან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</w:t>
      </w:r>
      <w:r>
        <w:rPr>
          <w:rFonts w:ascii="Sylfaen" w:eastAsia="Times New Roman" w:hAnsi="Sylfaen" w:cs="Sylfaen"/>
          <w:lang w:val="ka-GE" w:eastAsia="ka-GE"/>
        </w:rPr>
        <w:t>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ეკავოთ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საჩუქარი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</w:t>
      </w:r>
      <w:r>
        <w:rPr>
          <w:rFonts w:ascii="Sylfaen" w:eastAsia="Times New Roman" w:hAnsi="Sylfaen" w:cs="Sylfaen"/>
          <w:lang w:val="ka-GE" w:eastAsia="ka-GE"/>
        </w:rPr>
        <w:t>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6.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Style w:val="highlight"/>
          <w:rFonts w:ascii="Sylfaen" w:eastAsia="Times New Roman" w:hAnsi="Sylfaen" w:cs="Sylfaen"/>
          <w:lang w:val="ka-GE" w:eastAsia="ka-GE"/>
        </w:rPr>
        <w:t>საჯარო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კორუფციის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132)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დამცველი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(22.07.2003.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№2535)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center"/>
        <w:rPr>
          <w:rFonts w:ascii="Sylfaen" w:hAnsi="Sylfaen" w:cs="Sylfaen"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დამცველის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(22.07.2003.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№2535)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შეაფასოს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სარეგულაციო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</w:t>
      </w:r>
      <w:r>
        <w:rPr>
          <w:rFonts w:ascii="Sylfaen" w:eastAsia="Times New Roman" w:hAnsi="Sylfaen" w:cs="Sylfaen"/>
          <w:lang w:val="ka-GE" w:eastAsia="ka-GE"/>
        </w:rPr>
        <w:t>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თანაშემწეები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</w:t>
      </w:r>
      <w:r>
        <w:rPr>
          <w:rFonts w:ascii="Sylfaen" w:eastAsia="Times New Roman" w:hAnsi="Sylfaen" w:cs="Sylfaen"/>
          <w:lang w:val="ka-GE" w:eastAsia="ka-GE"/>
        </w:rPr>
        <w:t>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თანაშემწეებს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მომხმარებელთაგან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hAnsi="Sylfaen" w:cs="Sylfaen"/>
          <w:lang w:val="ka-GE" w:eastAsia="ka-GE"/>
        </w:rPr>
      </w:pPr>
    </w:p>
    <w:p w:rsidR="00000000" w:rsidRDefault="00226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15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დამცველისა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დამცველის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დანიშვნა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158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4)</w:t>
      </w:r>
    </w:p>
    <w:p w:rsidR="00000000" w:rsidRDefault="00226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კონკურსით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საკონკურსო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</w:t>
      </w:r>
      <w:r>
        <w:rPr>
          <w:rFonts w:ascii="Sylfaen" w:eastAsia="Times New Roman" w:hAnsi="Sylfaen" w:cs="Sylfaen"/>
          <w:lang w:eastAsia="x-none"/>
        </w:rPr>
        <w:t>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26B6A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№3884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</w:t>
      </w:r>
      <w:r>
        <w:rPr>
          <w:rFonts w:ascii="Sylfaen" w:eastAsia="Times New Roman" w:hAnsi="Sylfaen" w:cs="Sylfaen"/>
          <w:lang w:val="ka-GE" w:eastAsia="ka-GE"/>
        </w:rPr>
        <w:t>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26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226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26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rPr>
          <w:rFonts w:ascii="Sylfaen" w:hAnsi="Sylfaen" w:cs="Sylfaen"/>
          <w:lang w:val="ka-GE" w:eastAsia="ka-GE"/>
        </w:rPr>
      </w:pPr>
    </w:p>
    <w:p w:rsidR="00000000" w:rsidRDefault="00226B6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hanging="8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დამცველის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226B6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hanging="8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(22.07.2003.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№2535)</w:t>
      </w:r>
    </w:p>
    <w:p w:rsidR="00000000" w:rsidRDefault="00226B6A">
      <w:pPr>
        <w:pStyle w:val="Normal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56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მონოპოლიების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საადვოკატო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56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Style w:val="highlight"/>
          <w:rFonts w:ascii="Sylfaen" w:eastAsia="Times New Roman" w:hAnsi="Sylfaen" w:cs="Sylfaen"/>
          <w:lang w:val="ka-GE" w:eastAsia="ka-GE"/>
        </w:rPr>
        <w:t>საჯარო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კორუფციის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132) (27.10.2015.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4385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საჯაროობა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ხდომები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კონფიდენციალობა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1584)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</w:t>
      </w:r>
      <w:r>
        <w:rPr>
          <w:rFonts w:ascii="Sylfaen" w:eastAsia="Times New Roman" w:hAnsi="Sylfaen" w:cs="Sylfaen"/>
          <w:lang w:val="ka-GE" w:eastAsia="ka-GE"/>
        </w:rPr>
        <w:t>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IX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26B6A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№3884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ბუღალტერიის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ბუღალტრული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</w:t>
      </w:r>
      <w:r>
        <w:rPr>
          <w:rFonts w:ascii="Sylfaen" w:eastAsia="Times New Roman" w:hAnsi="Sylfaen" w:cs="Sylfaen"/>
          <w:lang w:eastAsia="x-none"/>
        </w:rPr>
        <w:t>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შესასწავლად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საკომპენსაციო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</w:p>
    <w:p w:rsidR="00000000" w:rsidRDefault="00226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გასაჩივრება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1584)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საერ</w:t>
      </w:r>
      <w:r>
        <w:rPr>
          <w:rFonts w:ascii="Sylfaen" w:eastAsia="Times New Roman" w:hAnsi="Sylfaen" w:cs="Sylfaen"/>
          <w:color w:val="000000"/>
          <w:lang w:val="ka-GE" w:eastAsia="ka-GE"/>
        </w:rPr>
        <w:t>თო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ღონისძიებები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ჩანაწერებისა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ტარიფებისა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</w:t>
      </w:r>
      <w:r>
        <w:rPr>
          <w:rFonts w:ascii="Sylfaen" w:eastAsia="Times New Roman" w:hAnsi="Sylfaen" w:cs="Sylfaen"/>
          <w:lang w:val="ka-GE" w:eastAsia="ka-GE"/>
        </w:rPr>
        <w:t>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</w:t>
      </w:r>
      <w:r>
        <w:rPr>
          <w:rFonts w:ascii="Sylfaen" w:eastAsia="Times New Roman" w:hAnsi="Sylfaen" w:cs="Sylfaen"/>
          <w:lang w:val="ka-GE" w:eastAsia="ka-GE"/>
        </w:rPr>
        <w:t>ოექტი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(22.07.2003.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2535)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(30.03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4595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226B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13 </w:t>
      </w:r>
      <w:r>
        <w:rPr>
          <w:rFonts w:ascii="Sylfaen" w:eastAsia="Times New Roman" w:hAnsi="Sylfaen" w:cs="Sylfaen"/>
          <w:lang w:val="ka-GE" w:eastAsia="ka-GE"/>
        </w:rPr>
        <w:t>სექტემბერი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26B6A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3680"/>
          <w:tab w:val="left" w:pos="14400"/>
        </w:tabs>
        <w:ind w:firstLine="676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1666 - 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226B6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3680"/>
          <w:tab w:val="left" w:pos="14400"/>
        </w:tabs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26B6A"/>
    <w:rsid w:val="002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ind w:left="720" w:hanging="360"/>
    </w:pPr>
    <w:rPr>
      <w:rFonts w:ascii="Calibri" w:hAnsi="Calibri" w:cs="Calibri"/>
      <w:sz w:val="22"/>
      <w:szCs w:val="22"/>
    </w:rPr>
  </w:style>
  <w:style w:type="character" w:customStyle="1" w:styleId="highlight">
    <w:name w:val="highlight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4571</Words>
  <Characters>26061</Characters>
  <Application>Microsoft Office Word</Application>
  <DocSecurity>0</DocSecurity>
  <Lines>217</Lines>
  <Paragraphs>61</Paragraphs>
  <ScaleCrop>false</ScaleCrop>
  <Company/>
  <LinksUpToDate>false</LinksUpToDate>
  <CharactersWithSpaces>30571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