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ბავშვთა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ახალგაზრდული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კავშირების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მხარდაჭერის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ფორმებსა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</w:t>
      </w:r>
      <w:r>
        <w:rPr>
          <w:rFonts w:ascii="Sylfaen" w:eastAsia="Times New Roman" w:hAnsi="Sylfaen" w:cs="Sylfaen"/>
          <w:lang w:eastAsia="x-none"/>
        </w:rPr>
        <w:t>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თვითრეალიზაციისა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სტიმულირებას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(29.05.2019 N 4615)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t>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>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პატრიოტულ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პროფკავშირებსა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სადამფუძნებლო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ნიჭისა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დამკვიდრებისათვი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სადამფუძნებლო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 (14.12.2006 N3982)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სადამფუძნებლო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ნიჭისა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ახალგაზრდულ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სადამფუძნებლო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იზიარებენ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ამოცანებს</w:t>
      </w:r>
      <w:r>
        <w:rPr>
          <w:rFonts w:ascii="Sylfaen" w:eastAsia="Times New Roman" w:hAnsi="Sylfaen" w:cs="Sylfaen"/>
          <w:lang w:eastAsia="x-none"/>
        </w:rPr>
        <w:t>. (25.03.2013. N448)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კავშირს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ეწოდებოდეს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 (27.04.2001 N 861)</w:t>
      </w:r>
    </w:p>
    <w:p w:rsidR="00000000" w:rsidRDefault="002E4444">
      <w:pPr>
        <w:pStyle w:val="Normal0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>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ბავშვებისა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lastRenderedPageBreak/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</w:t>
      </w:r>
      <w:r>
        <w:rPr>
          <w:rFonts w:ascii="Sylfaen" w:eastAsia="Times New Roman" w:hAnsi="Sylfaen" w:cs="Sylfaen"/>
          <w:lang w:eastAsia="x-none"/>
        </w:rPr>
        <w:t>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განხილვასა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ბავშვთა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ახალგაზრდული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კავშირების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მხარდაჭერის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ფორმები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N336)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ტიკით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(29.05.2019 N 4615)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სემინარები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(29.05.2019 N 4615)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(29.05.2019 N 4615)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N336)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E4444">
      <w:pPr>
        <w:pStyle w:val="Normal0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20" w:firstLine="6"/>
        <w:jc w:val="both"/>
        <w:rPr>
          <w:rFonts w:ascii="Sylfae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</w:t>
      </w:r>
    </w:p>
    <w:p w:rsidR="00000000" w:rsidRDefault="002E4444">
      <w:pPr>
        <w:pStyle w:val="Normal0"/>
        <w:tabs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უპასუხ</w:t>
      </w:r>
      <w:r>
        <w:rPr>
          <w:rFonts w:ascii="Sylfaen" w:eastAsia="Times New Roman" w:hAnsi="Sylfaen" w:cs="Sylfaen"/>
          <w:lang w:eastAsia="x-none"/>
        </w:rPr>
        <w:t>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(25.03.2013. N448)</w:t>
      </w:r>
    </w:p>
    <w:p w:rsidR="00000000" w:rsidRDefault="002E4444">
      <w:pPr>
        <w:pStyle w:val="Normal0"/>
        <w:tabs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ბავშვთა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ახალგაზრდული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სახელმწიფოებრივი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მხარდაჭერის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2E4444">
      <w:pPr>
        <w:pStyle w:val="Normal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26"/>
        <w:jc w:val="center"/>
        <w:rPr>
          <w:rFonts w:ascii="Sylfaen" w:hAnsi="Sylfaen" w:cs="Sylfaen"/>
          <w:lang w:eastAsia="x-none"/>
        </w:rPr>
      </w:pP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N336)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ბავშვთ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E4444">
      <w:pPr>
        <w:pStyle w:val="Normal0"/>
        <w:tabs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(25.03.2013. N448)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(07.12.2017. N1630)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>გაზრდობის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2E4444">
      <w:pPr>
        <w:pStyle w:val="Normal0"/>
        <w:tabs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(25.03.2013. N448)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მოსაპოვებლად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</w:t>
      </w:r>
      <w:r>
        <w:rPr>
          <w:rFonts w:ascii="Sylfaen" w:hAnsi="Sylfaen" w:cs="Sylfaen"/>
          <w:position w:val="12"/>
          <w:lang w:eastAsia="x-none"/>
        </w:rPr>
        <w:t xml:space="preserve">1 </w:t>
      </w:r>
      <w:r>
        <w:rPr>
          <w:rFonts w:ascii="Sylfaen" w:hAnsi="Sylfaen" w:cs="Sylfaen"/>
          <w:lang w:eastAsia="x-none"/>
        </w:rPr>
        <w:t>(25.03.2013. N448)</w:t>
      </w:r>
    </w:p>
    <w:p w:rsidR="00000000" w:rsidRDefault="002E4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ირიცხებოდნენ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E4444">
      <w:pPr>
        <w:pStyle w:val="Normal0"/>
        <w:tabs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2.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</w:t>
      </w:r>
      <w:r>
        <w:rPr>
          <w:rFonts w:ascii="Sylfaen" w:eastAsia="Times New Roman" w:hAnsi="Sylfaen" w:cs="Sylfaen"/>
          <w:lang w:eastAsia="x-none"/>
        </w:rPr>
        <w:t>ზრდული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მხარდაჭერას</w:t>
      </w:r>
      <w:r>
        <w:rPr>
          <w:rFonts w:ascii="Sylfaen" w:eastAsia="Times New Roman" w:hAnsi="Sylfaen" w:cs="Sylfaen"/>
          <w:lang w:eastAsia="x-none"/>
        </w:rPr>
        <w:t>.  (25.03.2013. N448)</w:t>
      </w:r>
    </w:p>
    <w:p w:rsidR="00000000" w:rsidRDefault="002E4444">
      <w:pPr>
        <w:pStyle w:val="Normal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26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აძე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hAnsi="Sylfaen" w:cs="Sylfaen"/>
          <w:lang w:eastAsia="x-none"/>
        </w:rPr>
      </w:pP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2139 -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2E44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000" w:h="1500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4444"/>
    <w:rsid w:val="002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Base>D:\asmati\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