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ნაყოფიერების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პესტიციდებისა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აგროქიმიკატების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(17.12.2010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4140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4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ეროზიის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ღვარცოფის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მეწყრის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ზვავის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წყალდიდობის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განმეორებითი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დაჭაობებისა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დამლაშების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აგრომადნეულისა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ანთროპოგენური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დანაკარგების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მლაშობი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ბიცობი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დაჭაობებული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ეროზირებული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მჟავე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ძლიერდაქვიანებული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დაბალნაყოფიერი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</w:t>
      </w:r>
      <w:r>
        <w:rPr>
          <w:rFonts w:ascii="Sylfaen" w:eastAsia="Times New Roman" w:hAnsi="Sylfaen" w:cs="Sylfaen"/>
          <w:lang w:val="en-US"/>
        </w:rPr>
        <w:t>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პესტიციდებისა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აგროქიმიკატების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წარმოიშობა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</w:t>
      </w:r>
      <w:r>
        <w:rPr>
          <w:rFonts w:ascii="Sylfaen" w:eastAsia="Times New Roman" w:hAnsi="Sylfaen" w:cs="Sylfaen"/>
          <w:lang w:val="en-US"/>
        </w:rPr>
        <w:t>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აგროქიმიკატების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დედამიწის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ფხვიერი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ნიადაგწარმომქმნელ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ჩამორეცხვა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უმთავრესი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თვისება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განასხვავებს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დედაქანისაგან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მოსავლიანობის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ერთობლიობას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</w:t>
      </w:r>
      <w:r>
        <w:rPr>
          <w:rFonts w:ascii="Sylfaen" w:eastAsia="Times New Roman" w:hAnsi="Sylfaen" w:cs="Sylfaen"/>
          <w:lang w:val="en-US"/>
        </w:rPr>
        <w:t>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მლაშობი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წყალში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ხსნადი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მდიდარი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აბრკოლებს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განვითარებას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ბიცობი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ნატრიუმიანი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ჰორიზონტი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ზედაპირიდან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სმ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მჟავე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ახასიათებს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ფუძეებით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მაძღრობის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მჟავე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რეაქცია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ძლიერდაქვიანებული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ზედაპირის</w:t>
      </w:r>
      <w:r>
        <w:rPr>
          <w:rFonts w:ascii="Sylfaen" w:eastAsia="Times New Roman" w:hAnsi="Sylfaen" w:cs="Sylfaen"/>
          <w:lang w:val="en-US"/>
        </w:rPr>
        <w:t xml:space="preserve">   20-40% </w:t>
      </w:r>
      <w:r>
        <w:rPr>
          <w:rFonts w:ascii="Sylfaen" w:eastAsia="Times New Roman" w:hAnsi="Sylfaen" w:cs="Sylfaen"/>
          <w:lang w:val="en-US"/>
        </w:rPr>
        <w:t>დაფარულ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სმ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დიამეტრის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დეგრადირებული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ბონიტირება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ხარისხობრივი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მოსავლიანობის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დაჭაობება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პროცესი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ტენიანობის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>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სდევს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მიკროფლორისა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ჟანგვა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რკინის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ქვეჟანგისა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დაგროვება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დაკვირვება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პროგნოზი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რეკულტივაცია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თაბაშირის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ტორფ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მპოსტების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ბენტონიტების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შენაერთების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მელიორირებული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ჩატარებულია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სამელიორაციო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ირიგაცია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დაშრობა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საწინაა</w:t>
      </w:r>
      <w:r>
        <w:rPr>
          <w:rFonts w:ascii="Sylfaen" w:eastAsia="Times New Roman" w:hAnsi="Sylfaen" w:cs="Sylfaen"/>
          <w:lang w:val="en-US"/>
        </w:rPr>
        <w:t>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მელიორანტი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ნაერთები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გასაუმჯობესებლად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რადიონუკლიდები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რადიოაქტიური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სტრონციუმი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ცეზიუმი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>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აგრომადნეულები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წიაღისეული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მრეწველობაში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გადამუშავების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>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გასაუმჯობესებლად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ჰუმუსი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ნიადაგში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სპეციფიკური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არასპეციფიკური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მუქად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უფორმო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მინარევებს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უჯრედული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ბიოსფერო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შედგენილობა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განპირობებულია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ცხოველმყოფელობით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2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ხმელეთის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ბიოპროდუქტიული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მცენარეულ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აფარს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ბიომასებს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ჰიდროლოგიურ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2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ღვარცოფი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მთისწინა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ნანგრევის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დაბლობში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გადარეცხვას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დარიყვას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მეწყერი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ფერდობების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ჩამონგრევა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ზვავი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დიდ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გროვად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წამოსული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ჩამორღვეული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თოვლი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წყალდიდობა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მდინარეების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თოვლის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აბრაზია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რღვევა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ჩარეცხვა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ტალღების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</w:t>
      </w:r>
      <w:r>
        <w:rPr>
          <w:rFonts w:ascii="Sylfaen" w:eastAsia="Times New Roman" w:hAnsi="Sylfaen" w:cs="Sylfaen"/>
          <w:lang w:val="en-US"/>
        </w:rPr>
        <w:t>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ბიომრავალფეროვნებას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ზღუდვები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ღონისძიებებზე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მელიორაციაზე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წყალდიდობის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ღვარცოფული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მეწყრული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ზვავური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</w:t>
      </w:r>
      <w:r>
        <w:rPr>
          <w:rFonts w:ascii="Sylfaen" w:eastAsia="Times New Roman" w:hAnsi="Sylfaen" w:cs="Sylfaen"/>
          <w:lang w:val="en-US"/>
        </w:rPr>
        <w:t>ებებზე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ხარისხობრი</w:t>
      </w:r>
      <w:r>
        <w:rPr>
          <w:rFonts w:ascii="Sylfaen" w:eastAsia="Times New Roman" w:hAnsi="Sylfaen" w:cs="Sylfaen"/>
          <w:lang w:val="en-US"/>
        </w:rPr>
        <w:t>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გენეზისური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მსხვილმასშტაბიანი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წვრილმასშტაბიანი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სამელიორაციო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აგროქიმიური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ნიადაგურ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ეროზიული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ბონიტირება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ეროზიისგან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ეროზიის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გატყევების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გაშენებისა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</w:t>
      </w:r>
      <w:r>
        <w:rPr>
          <w:rFonts w:ascii="Sylfaen" w:eastAsia="Times New Roman" w:hAnsi="Sylfaen" w:cs="Sylfaen"/>
          <w:lang w:val="ka-GE" w:eastAsia="ka-GE"/>
        </w:rPr>
        <w:t>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წყალდიდობა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ღვარცოფი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ზვავი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მეწყერი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ექსტრემალური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პროცესებისაგან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სათიბ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საძოვრების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მცენარეული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საფარის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მლაშობი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ბიცობი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მჟავე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ძლიერდაქვიანებული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გაწმენდა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გასაუმჯობესებლად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რწყვის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გრუნტის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განმეორებითი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დაჭაობებისა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დამლაშების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ეტალონური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კლიმატური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ჭარბტენიანი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დაშრობ</w:t>
      </w:r>
      <w:r>
        <w:rPr>
          <w:rFonts w:ascii="Sylfaen" w:eastAsia="Times New Roman" w:hAnsi="Sylfaen" w:cs="Sylfaen"/>
          <w:lang w:val="en-US"/>
        </w:rPr>
        <w:t>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აგრომელიორაციული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მაღალმთიან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მთაგორიან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მთისწინა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საძოვრებზე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ვერტიკალური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მდინარეთა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აბრაზიისაგან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გაუდაბნოების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პესტიციდებისა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აგროქიმიკატების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</w:p>
    <w:p w:rsidR="00000000" w:rsidRDefault="00B13005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აგრომადნეულები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ტორფი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ნაკელი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საპროპელი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ბიოჰუმუსი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თესლბრუნვები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მიწათმოქმედება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მელიორანტები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კირქვა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დოლომიტი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მერგელი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გლაუკონიტიანი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თიხები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ფოსფატები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ბენტონიტები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საწინააღმდეგო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აგრ</w:t>
      </w:r>
      <w:r>
        <w:rPr>
          <w:rFonts w:ascii="Sylfaen" w:eastAsia="Times New Roman" w:hAnsi="Sylfaen" w:cs="Sylfaen"/>
          <w:lang w:val="en-US"/>
        </w:rPr>
        <w:t>ოსატყეო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მაღალმთიან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საძოვართმორიგეობის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ირიგაცია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დრენაჟი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მანქანა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>რაღები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კონსერვაციასა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ურთიერთობები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შეზღუდვები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იზღუდება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ეროზიული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გრადუსზე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დახრილობის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ფერდობების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სახნავად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ფერდობების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დახრილობის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გასწვრივ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ფერდობების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დატერასება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</w:t>
      </w:r>
      <w:r>
        <w:rPr>
          <w:rFonts w:ascii="Sylfaen" w:eastAsia="Times New Roman" w:hAnsi="Sylfaen" w:cs="Sylfaen"/>
          <w:lang w:val="en-US"/>
        </w:rPr>
        <w:t>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რწყვის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ნაყოფიერებადაცემული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დეგრადირებული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</w:t>
      </w:r>
      <w:r>
        <w:rPr>
          <w:rFonts w:ascii="Sylfaen" w:eastAsia="Times New Roman" w:hAnsi="Sylfaen" w:cs="Sylfaen"/>
          <w:lang w:val="en-US"/>
        </w:rPr>
        <w:t>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აკრძალვები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იკრძალება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საძოვრების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რღვევა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უწესრიგო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ძოვებით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გაკაფვა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მელიორანტების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აგრომადნეულების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პესტიციდებისა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</w:t>
      </w:r>
      <w:r>
        <w:rPr>
          <w:rFonts w:ascii="Sylfaen" w:eastAsia="Times New Roman" w:hAnsi="Sylfaen" w:cs="Sylfaen"/>
          <w:lang w:val="en-US"/>
        </w:rPr>
        <w:t>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შეუმოწმებლად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</w:t>
      </w:r>
      <w:r>
        <w:rPr>
          <w:rFonts w:ascii="Sylfaen" w:eastAsia="Times New Roman" w:hAnsi="Sylfaen" w:cs="Sylfaen"/>
          <w:lang w:val="en-US"/>
        </w:rPr>
        <w:t>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რადიონუკლიდებით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ტოქსიკური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tabs>
          <w:tab w:val="left" w:pos="9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მელიორირებული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სარწყავი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ურწყავთა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№6933)</w:t>
      </w:r>
    </w:p>
    <w:p w:rsidR="00000000" w:rsidRDefault="00B13005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ირიგაციის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დრენაჟის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ნაპირგამაგრებების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ღვარცოფისა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მეწყერსაწინააღმდეგო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</w:t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№6933)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ყოველგვარი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გააუარესებს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გაუდაბნოების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დაჭაობების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დამლაშების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გაბიცობების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გამჟავიანებისა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ღონისძიებათა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</w:t>
      </w:r>
      <w:r>
        <w:rPr>
          <w:rFonts w:ascii="Sylfaen" w:eastAsia="Times New Roman" w:hAnsi="Sylfaen" w:cs="Sylfaen"/>
          <w:lang w:val="en-US"/>
        </w:rPr>
        <w:t>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წყალსაცავებისა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</w:t>
      </w:r>
      <w:r>
        <w:rPr>
          <w:rFonts w:ascii="Sylfaen" w:eastAsia="Times New Roman" w:hAnsi="Sylfaen" w:cs="Sylfaen"/>
          <w:lang w:val="en-US"/>
        </w:rPr>
        <w:t>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მლაშობი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ბიცობი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მჟავე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ეროზირებული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დაჭაობებული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გაუდაბნოებული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კორდდაშლილი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გაველურებული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ძლიერდაქვიანებული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მაღალმთიან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მთისწინა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სათიბ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საძოვრებით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ფერდობები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ეროზიისაგან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ნიადაგები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ქიმიურ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რეკულტივაციას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ტენდერში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წყლოვანი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მორწყვითი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დაშრობითი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რეგულ</w:t>
      </w:r>
      <w:r>
        <w:rPr>
          <w:rFonts w:ascii="Sylfaen" w:eastAsia="Times New Roman" w:hAnsi="Sylfaen" w:cs="Sylfaen"/>
          <w:lang w:val="en-US"/>
        </w:rPr>
        <w:t>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დაფინანსება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10.</w:t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დაფინანსება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ნიადაგები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აგროტექნიკასთან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გაუდაბნოების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center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1693)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კარიერული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რეკულტივაცია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</w:t>
      </w:r>
      <w:r>
        <w:rPr>
          <w:rFonts w:ascii="Sylfaen" w:eastAsia="Times New Roman" w:hAnsi="Sylfaen" w:cs="Sylfaen"/>
          <w:b/>
          <w:bCs/>
          <w:lang w:val="en-US"/>
        </w:rPr>
        <w:t>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ზედამხედველობა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lang w:val="en-US"/>
        </w:rPr>
      </w:pPr>
    </w:p>
    <w:p w:rsidR="00000000" w:rsidRDefault="00B13005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ნიადაგების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1693)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სავარგულებზე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</w:t>
      </w:r>
      <w:r>
        <w:rPr>
          <w:rFonts w:ascii="Sylfaen" w:eastAsia="Times New Roman" w:hAnsi="Sylfaen" w:cs="Sylfaen"/>
          <w:lang w:val="ka-GE" w:eastAsia="ka-GE"/>
        </w:rPr>
        <w:t>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</w:t>
      </w:r>
      <w:r>
        <w:rPr>
          <w:rFonts w:ascii="Sylfaen" w:eastAsia="Times New Roman" w:hAnsi="Sylfaen" w:cs="Sylfaen"/>
          <w:lang w:val="ka-GE" w:eastAsia="ka-GE"/>
        </w:rPr>
        <w:t>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</w:t>
      </w:r>
      <w:r>
        <w:rPr>
          <w:rFonts w:ascii="Sylfaen" w:eastAsia="Times New Roman" w:hAnsi="Sylfaen" w:cs="Sylfaen"/>
          <w:lang w:val="ka-GE" w:eastAsia="ka-GE"/>
        </w:rPr>
        <w:t>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მლაშობი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ცობი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მჟავე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ეროზირებული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მელიორირებული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ძლიერდაქვიანებული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დაჭაობებული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დაბალნაყოფიერი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კადასტრის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13005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ნიადაგების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1693)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აგროქიმიური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აგროსატყეო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ირიგაციული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13005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რადიონუკლიდებით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ენტომოლოგიური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ჰელმინთოლოგიური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ვირუსულ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მიწათმოქმედებისაგან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აგროსატყეო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მელიორაციული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lang w:val="en-US"/>
        </w:rPr>
        <w:t>დაკვირვება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მდგომარეობაზე</w:t>
      </w:r>
    </w:p>
    <w:p w:rsidR="00000000" w:rsidRDefault="00B1300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კომპონენტებზე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მელიორაციაზე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რეკულტივაციაზე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ეროზიისაგან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ნიადაგებშ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გვალვის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1693)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რკინიგზების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მაგისტრალების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დაკვირვება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</w:t>
      </w:r>
      <w:r>
        <w:rPr>
          <w:rFonts w:ascii="Sylfaen" w:eastAsia="Times New Roman" w:hAnsi="Sylfaen" w:cs="Sylfaen"/>
          <w:lang w:val="en-US"/>
        </w:rPr>
        <w:t>ულონ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ორგანიზაციებმა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დაკვირვებისა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პერსპექტიული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14.</w:t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მესაკუთრის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ნიადა</w:t>
      </w:r>
      <w:r>
        <w:rPr>
          <w:rFonts w:ascii="Sylfaen" w:eastAsia="Times New Roman" w:hAnsi="Sylfaen" w:cs="Sylfaen"/>
          <w:b/>
          <w:bCs/>
          <w:lang w:val="en-US"/>
        </w:rPr>
        <w:t>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</w:t>
      </w:r>
      <w:r>
        <w:rPr>
          <w:rFonts w:ascii="Sylfaen" w:eastAsia="Times New Roman" w:hAnsi="Sylfaen" w:cs="Sylfaen"/>
          <w:lang w:val="en-US"/>
        </w:rPr>
        <w:t>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</w:t>
      </w:r>
      <w:r>
        <w:rPr>
          <w:rFonts w:ascii="Sylfaen" w:eastAsia="Times New Roman" w:hAnsi="Sylfaen" w:cs="Sylfaen"/>
          <w:lang w:val="en-US"/>
        </w:rPr>
        <w:t>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თანამშრომლობა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თანამშრომლობა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ნიადაგების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კონსერვაციისა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ნაყოფიერების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საერთაშორი</w:t>
      </w:r>
      <w:r>
        <w:rPr>
          <w:rFonts w:ascii="Sylfaen" w:eastAsia="Times New Roman" w:hAnsi="Sylfaen" w:cs="Sylfaen"/>
          <w:lang w:val="en-US"/>
        </w:rPr>
        <w:t>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VIII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16.</w:t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პას</w:t>
      </w:r>
      <w:r>
        <w:rPr>
          <w:rFonts w:ascii="Sylfaen" w:eastAsia="Times New Roman" w:hAnsi="Sylfaen" w:cs="Sylfaen"/>
          <w:lang w:val="en-US"/>
        </w:rPr>
        <w:t>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IX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17.</w:t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მისაღები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აქტები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დაყრდნობით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ბრძანებები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აგროქიმიკატების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რეალიზაციისა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“; 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ეროზიისაგან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(1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2.10.2007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5391)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(12.10.2007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5391)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</w:t>
      </w:r>
      <w:r>
        <w:rPr>
          <w:rFonts w:ascii="Sylfaen" w:eastAsia="Times New Roman" w:hAnsi="Sylfaen" w:cs="Sylfaen"/>
          <w:lang w:val="en-US"/>
        </w:rPr>
        <w:t>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დაყრდნობით</w:t>
      </w:r>
      <w:r>
        <w:rPr>
          <w:rFonts w:ascii="Sylfaen" w:eastAsia="Times New Roman" w:hAnsi="Sylfaen" w:cs="Sylfaen"/>
          <w:lang w:val="en-US"/>
        </w:rPr>
        <w:t xml:space="preserve">, 2003-2004 </w:t>
      </w:r>
      <w:r>
        <w:rPr>
          <w:rFonts w:ascii="Sylfaen" w:eastAsia="Times New Roman" w:hAnsi="Sylfaen" w:cs="Sylfaen"/>
          <w:lang w:val="en-US"/>
        </w:rPr>
        <w:t>წლებში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ბრძანებები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(12.10.2007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5391)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ნიადაგის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ნაყოფიერი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რეკულტივაციის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ტოქსიკური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დეგრადირებული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</w:t>
      </w:r>
      <w:r>
        <w:rPr>
          <w:rFonts w:ascii="Sylfaen" w:eastAsia="Times New Roman" w:hAnsi="Sylfaen" w:cs="Sylfaen"/>
          <w:lang w:val="en-US"/>
        </w:rPr>
        <w:t>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“;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დეგრადაციის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:rsidR="00000000" w:rsidRDefault="00B13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sv-SE" w:eastAsia="sv-SE"/>
        </w:rPr>
        <w:t xml:space="preserve">4. </w:t>
      </w:r>
      <w:r>
        <w:rPr>
          <w:rFonts w:ascii="Sylfaen" w:eastAsia="Times New Roman" w:hAnsi="Sylfaen" w:cs="Sylfaen"/>
          <w:lang w:val="sv-SE" w:eastAsia="sv-SE"/>
        </w:rPr>
        <w:t>საქართველოს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სოფლის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მეურნეობის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სამინისტრომ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აგრარული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ფაკულტეტის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მქონე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უნივერსიტეტების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შესაბამისი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სამეცნიერო</w:t>
      </w:r>
      <w:r>
        <w:rPr>
          <w:rFonts w:ascii="Sylfaen" w:eastAsia="Times New Roman" w:hAnsi="Sylfaen" w:cs="Sylfaen"/>
          <w:lang w:val="sv-SE" w:eastAsia="sv-SE"/>
        </w:rPr>
        <w:t>-</w:t>
      </w:r>
      <w:r>
        <w:rPr>
          <w:rFonts w:ascii="Sylfaen" w:eastAsia="Times New Roman" w:hAnsi="Sylfaen" w:cs="Sylfaen"/>
          <w:lang w:val="sv-SE" w:eastAsia="sv-SE"/>
        </w:rPr>
        <w:t>კვლევითი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ინსტიტუტების</w:t>
      </w:r>
      <w:r>
        <w:rPr>
          <w:rFonts w:ascii="Sylfaen" w:eastAsia="Times New Roma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sv-SE" w:eastAsia="sv-SE"/>
        </w:rPr>
        <w:t>კვლევებისა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ექსპერტიზის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შედეგებზ</w:t>
      </w:r>
      <w:r>
        <w:rPr>
          <w:rFonts w:ascii="Sylfaen" w:eastAsia="Times New Roman" w:hAnsi="Sylfaen" w:cs="Sylfaen"/>
          <w:lang w:val="sv-SE" w:eastAsia="sv-SE"/>
        </w:rPr>
        <w:t>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დაყრდნობით</w:t>
      </w:r>
      <w:r>
        <w:rPr>
          <w:rFonts w:ascii="Sylfaen" w:eastAsia="Times New Roman" w:hAnsi="Sylfaen" w:cs="Sylfaen"/>
          <w:lang w:val="sv-SE" w:eastAsia="sv-SE"/>
        </w:rPr>
        <w:t xml:space="preserve"> 201</w:t>
      </w: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წლის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გამოსცეს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ბრძანება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„</w:t>
      </w:r>
      <w:r>
        <w:rPr>
          <w:rFonts w:ascii="Sylfaen" w:eastAsia="Times New Roman" w:hAnsi="Sylfaen" w:cs="Sylfaen"/>
          <w:lang w:val="pt-BR" w:eastAsia="pt-BR"/>
        </w:rPr>
        <w:t>ნიადაგების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დაცვისა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ნაყოფიერების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ამაღლების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სახელმწიფო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პროგრამის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დამტკიცების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(19.04.2013.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563)</w:t>
      </w:r>
    </w:p>
    <w:p w:rsidR="00000000" w:rsidRDefault="00B13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დაყრდნობით</w:t>
      </w:r>
      <w:r>
        <w:rPr>
          <w:rFonts w:ascii="Sylfaen" w:eastAsia="Times New Roma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მიწების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hAnsi="Sylfaen" w:cs="Sylfaen"/>
          <w:sz w:val="20"/>
          <w:szCs w:val="20"/>
          <w:lang w:val="en-US"/>
        </w:rPr>
        <w:t>(12.10.2007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5391)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</w:t>
      </w:r>
      <w:r>
        <w:rPr>
          <w:rFonts w:ascii="Sylfaen" w:eastAsia="Times New Roman" w:hAnsi="Sylfaen" w:cs="Sylfaen"/>
          <w:lang w:val="en-US"/>
        </w:rPr>
        <w:t>ედუარდ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შევარდნაძე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მაისი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30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2260 </w:t>
      </w:r>
      <w:r>
        <w:rPr>
          <w:rFonts w:ascii="Sylfaen" w:eastAsia="Times New Roman" w:hAnsi="Sylfaen" w:cs="Sylfaen"/>
          <w:lang w:val="en-US"/>
        </w:rPr>
        <w:t>– II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B13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3005"/>
    <w:rsid w:val="00B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20" w:lineRule="atLeast"/>
      <w:ind w:left="850" w:hanging="220"/>
    </w:pPr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widowControl/>
      <w:spacing w:after="160" w:line="257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3468</Words>
  <Characters>19774</Characters>
  <Application>Microsoft Office Word</Application>
  <DocSecurity>0</DocSecurity>
  <Lines>164</Lines>
  <Paragraphs>46</Paragraphs>
  <ScaleCrop>false</ScaleCrop>
  <Company/>
  <LinksUpToDate>false</LinksUpToDate>
  <CharactersWithSpaces>23196</CharactersWithSpaces>
  <SharedDoc>false</SharedDoc>
  <HyperlinkBase>C:\i\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