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90A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6C0EB9D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BFB89C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4BE06A4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14:paraId="7B5A3CB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14:paraId="4FD7721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14:paraId="1741FA0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14:paraId="5921FEE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14:paraId="083C3F9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>.</w:t>
      </w:r>
    </w:p>
    <w:p w14:paraId="0A5FE6F0" w14:textId="77777777" w:rsidR="00000000" w:rsidRDefault="00DB6B64">
      <w:pPr>
        <w:pStyle w:val="Normal0"/>
        <w:tabs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14:paraId="1C2B3452" w14:textId="77777777" w:rsidR="00000000" w:rsidRDefault="00DB6B64">
      <w:pPr>
        <w:pStyle w:val="Normal0"/>
        <w:tabs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4082EAE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3285)</w:t>
      </w:r>
    </w:p>
    <w:p w14:paraId="797B8EB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141DFB2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დასაზიანებლა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გასანადგურებლად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მისაწოდებლად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392C3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დენთის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ენერგიის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გასანადგურებლად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7562D98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ლულა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დოლურა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ჩამკეტი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ჩარჩო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კოლოფი</w:t>
      </w:r>
      <w:r>
        <w:rPr>
          <w:rFonts w:ascii="Sylfaen" w:eastAsia="Times New Roman" w:hAnsi="Sylfaen" w:cs="Sylfaen"/>
          <w:lang w:val="en-US"/>
        </w:rPr>
        <w:t>;</w:t>
      </w:r>
    </w:p>
    <w:p w14:paraId="6C40FBA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მოსაყვანი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მექანიზმის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ნადირობისათვის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კარაბინი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შაშხანა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გლუვლულიანი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თოფი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კომბინირებული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გლუვლულიანი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თოფი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403BC4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გლუვლულიანი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პისტოლეტი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რევოლვერი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>აღებად</w:t>
      </w:r>
      <w:r>
        <w:rPr>
          <w:rFonts w:ascii="Sylfaen" w:eastAsia="Times New Roman" w:hAnsi="Sylfaen" w:cs="Sylfaen"/>
          <w:lang w:val="en-US"/>
        </w:rPr>
        <w:t>;</w:t>
      </w:r>
    </w:p>
    <w:p w14:paraId="6E5B55B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>;</w:t>
      </w:r>
    </w:p>
    <w:p w14:paraId="40F56BA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საფანტის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ლულაში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დოლ</w:t>
      </w:r>
      <w:r>
        <w:rPr>
          <w:rFonts w:ascii="Sylfaen" w:eastAsia="Times New Roman" w:hAnsi="Sylfaen" w:cs="Sylfaen"/>
          <w:lang w:val="en-US"/>
        </w:rPr>
        <w:t>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გამომრიცხავი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მზღუდავის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პისტოლეტი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რევოლვერი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ტრავმული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სხეულში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გამჭოლ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დაზიანებებს</w:t>
      </w:r>
      <w:r>
        <w:rPr>
          <w:rFonts w:ascii="Sylfaen" w:eastAsia="Times New Roman" w:hAnsi="Sylfaen" w:cs="Sylfaen"/>
          <w:lang w:val="en-US"/>
        </w:rPr>
        <w:t>;</w:t>
      </w:r>
    </w:p>
    <w:p w14:paraId="2230F69D" w14:textId="77777777" w:rsidR="00000000" w:rsidRDefault="00DB6B64">
      <w:pPr>
        <w:pStyle w:val="Normal0"/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აირ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ლულაში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დოლურაში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ჭურვების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გამომრიცხავი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მზღუდავის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პისტოლეტი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რევოლვერი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ცრემლმდენი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გამაღიზიანებელი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მწყობრიდა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გამოსაყვანად</w:t>
      </w:r>
      <w:r>
        <w:rPr>
          <w:rFonts w:ascii="Sylfaen" w:eastAsia="Times New Roman" w:hAnsi="Sylfaen" w:cs="Sylfaen"/>
          <w:lang w:val="en-US"/>
        </w:rPr>
        <w:t>;</w:t>
      </w:r>
    </w:p>
    <w:p w14:paraId="4B7196F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პნევმატური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იწყებს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შეკუმშული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დაწნეხილი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გამყარებული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5FB84DF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პისტოლეტი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რევოლ</w:t>
      </w:r>
      <w:r>
        <w:rPr>
          <w:rFonts w:ascii="Sylfaen" w:eastAsia="Times New Roman" w:hAnsi="Sylfaen" w:cs="Sylfaen"/>
          <w:lang w:val="en-US"/>
        </w:rPr>
        <w:t>ვერი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საფანტის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);</w:t>
      </w:r>
    </w:p>
    <w:p w14:paraId="3C94530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აეროზოლური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ცრემლმდენი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გამაღიზიანებელი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მწყობრიდან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გამოსაყვანად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117)</w:t>
      </w:r>
    </w:p>
    <w:p w14:paraId="2141F9E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მაინიციირებელი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ფეთქებადი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ჭურვისაგან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ჭურვებისაგან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კონსტრუქციულად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გასანადგურებლად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7B1CDBE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color w:val="000000"/>
          <w:lang w:eastAsia="x-none"/>
        </w:rPr>
        <w:t>მ</w:t>
      </w:r>
      <w:r>
        <w:rPr>
          <w:rFonts w:ascii="Sylfaen" w:hAnsi="Sylfaen" w:cs="Sylfaen"/>
          <w:color w:val="000000"/>
          <w:position w:val="12"/>
          <w:lang w:eastAsia="x-none"/>
        </w:rPr>
        <w:t>1</w:t>
      </w:r>
      <w:r>
        <w:rPr>
          <w:rFonts w:ascii="Sylfae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საბრძოლო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მასალის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ძირითადი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ელემენტები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–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მაინიციირებელი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ფეთქებადი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ნივთიერება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ჭურვი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მასრა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კაფსულა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; 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გამოქვეყნებ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იდან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eastAsia="x-none"/>
        </w:rPr>
        <w:t>)</w:t>
      </w:r>
    </w:p>
    <w:p w14:paraId="1D2CDD4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მასრისგან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კაფსულისგან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3099D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ელექტროშოკური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ცოცხალი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ნორმებს</w:t>
      </w:r>
      <w:r>
        <w:rPr>
          <w:rFonts w:ascii="Sylfaen" w:eastAsia="Times New Roman" w:hAnsi="Sylfaen" w:cs="Sylfaen"/>
          <w:lang w:val="en-US"/>
        </w:rPr>
        <w:t>;</w:t>
      </w:r>
    </w:p>
    <w:p w14:paraId="2C8BCDA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</w:t>
      </w:r>
      <w:r>
        <w:rPr>
          <w:rFonts w:ascii="Sylfaen" w:eastAsia="Times New Roman" w:hAnsi="Sylfaen" w:cs="Sylfaen"/>
          <w:lang w:val="en-US"/>
        </w:rPr>
        <w:t>ალით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0A5CC6F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24491ED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საკოლექციო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ექსპონირება</w:t>
      </w:r>
      <w:r>
        <w:rPr>
          <w:rFonts w:ascii="Sylfaen" w:eastAsia="Times New Roman" w:hAnsi="Sylfaen" w:cs="Sylfaen"/>
          <w:lang w:val="en-US"/>
        </w:rPr>
        <w:t>;</w:t>
      </w:r>
    </w:p>
    <w:p w14:paraId="2431BBC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სასიგნალო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შუქ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ხმოვანი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კვამლური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მისაწოდებლად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22FEBE8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ფუჭი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სასროლად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თეატრალურ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კინოჩვენებასა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რეკონსტრუქციაში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აღლუმსა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E0221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ჯილდოდ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</w:t>
      </w:r>
      <w:r>
        <w:rPr>
          <w:rFonts w:ascii="Sylfaen" w:eastAsia="Times New Roman" w:hAnsi="Sylfaen" w:cs="Sylfaen"/>
          <w:lang w:val="en-US"/>
        </w:rPr>
        <w:t>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მიღწევებისათვის</w:t>
      </w:r>
      <w:r>
        <w:rPr>
          <w:rFonts w:ascii="Sylfaen" w:eastAsia="Times New Roman" w:hAnsi="Sylfaen" w:cs="Sylfaen"/>
          <w:lang w:val="en-US"/>
        </w:rPr>
        <w:t>;</w:t>
      </w:r>
    </w:p>
    <w:p w14:paraId="2E88155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იარაღით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რეგისტრაცია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დამზადება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შეკეთება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მოდერნიზებისა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შეძენა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გადაგზავნა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რეექსპორტი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ტრანზიტი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ამოღება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ჩამოწერა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განადგურება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შიდა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გადამუშავება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გარე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გადამუშავება</w:t>
      </w:r>
      <w:r>
        <w:rPr>
          <w:rFonts w:ascii="Sylfaen" w:eastAsia="Times New Roman" w:hAnsi="Sylfaen" w:cs="Sylfaen"/>
          <w:color w:val="000000"/>
          <w:lang w:val="en-US"/>
        </w:rPr>
        <w:t>,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კოლექციონირება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ექსპონირება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ბალისტიკური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ტყვია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მასროთეკის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5A837D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დამამზადებელი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;</w:t>
      </w:r>
    </w:p>
    <w:p w14:paraId="1172657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განკარგვისა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;</w:t>
      </w:r>
    </w:p>
    <w:p w14:paraId="6CABF2A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</w:t>
      </w:r>
      <w:r>
        <w:rPr>
          <w:rFonts w:ascii="Sylfaen" w:eastAsia="Times New Roman" w:hAnsi="Sylfaen" w:cs="Sylfaen"/>
          <w:lang w:val="en-US"/>
        </w:rPr>
        <w:t>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1B87E74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დანადგარები</w:t>
      </w:r>
      <w:r>
        <w:rPr>
          <w:rFonts w:ascii="Sylfaen" w:eastAsia="Times New Roman" w:hAnsi="Sylfaen" w:cs="Sylfaen"/>
          <w:lang w:val="en-US"/>
        </w:rPr>
        <w:t>.</w:t>
      </w:r>
    </w:p>
    <w:p w14:paraId="47BF574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დათვალიერება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-19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</w:t>
      </w:r>
      <w:r>
        <w:rPr>
          <w:rFonts w:ascii="Sylfaen" w:eastAsia="Times New Roman" w:hAnsi="Sylfaen" w:cs="Sylfaen"/>
          <w:lang w:val="en-US"/>
        </w:rPr>
        <w:t>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დათვალიერება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4138)</w:t>
      </w:r>
    </w:p>
    <w:p w14:paraId="1284B84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117)</w:t>
      </w:r>
    </w:p>
    <w:p w14:paraId="089F5CE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14:paraId="64BCF31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</w:p>
    <w:p w14:paraId="3FC5E6D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სახეები</w:t>
      </w:r>
    </w:p>
    <w:p w14:paraId="2636604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სახეებად</w:t>
      </w:r>
      <w:r>
        <w:rPr>
          <w:rFonts w:ascii="Sylfaen" w:eastAsia="Times New Roman" w:hAnsi="Sylfaen" w:cs="Sylfaen"/>
          <w:lang w:val="en-US"/>
        </w:rPr>
        <w:t>:</w:t>
      </w:r>
    </w:p>
    <w:p w14:paraId="0F18AC9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;</w:t>
      </w:r>
    </w:p>
    <w:p w14:paraId="40A2993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;</w:t>
      </w:r>
    </w:p>
    <w:p w14:paraId="38DCA3D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.</w:t>
      </w:r>
    </w:p>
    <w:p w14:paraId="0385D57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27.09.2013.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05BA4E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ცივ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სასროლ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მიეკუთვნება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მეტროლოგიის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მახასიათებლებს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>8.05.2012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6162)</w:t>
      </w:r>
    </w:p>
    <w:p w14:paraId="16D1135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6DE0EFD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695ECEA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752A765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</w:t>
      </w:r>
    </w:p>
    <w:p w14:paraId="790BD99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</w:t>
      </w:r>
    </w:p>
    <w:p w14:paraId="56A7C0A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7C97EE6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სახეები</w:t>
      </w:r>
    </w:p>
    <w:p w14:paraId="6BA12C9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სამოქალაქოა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</w:t>
      </w:r>
      <w:r>
        <w:rPr>
          <w:rFonts w:ascii="Sylfaen" w:eastAsia="Times New Roman" w:hAnsi="Sylfaen" w:cs="Sylfaen"/>
          <w:lang w:val="en-US"/>
        </w:rPr>
        <w:t>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საკოლექციო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2139B5E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>:</w:t>
      </w:r>
    </w:p>
    <w:p w14:paraId="3E03B57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>;</w:t>
      </w:r>
    </w:p>
    <w:p w14:paraId="2F561EB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5E5A6C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>;</w:t>
      </w:r>
    </w:p>
    <w:p w14:paraId="263B042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საკოლექციო</w:t>
      </w:r>
      <w:r>
        <w:rPr>
          <w:rFonts w:ascii="Sylfaen" w:eastAsia="Times New Roman" w:hAnsi="Sylfaen" w:cs="Sylfaen"/>
          <w:lang w:val="en-US"/>
        </w:rPr>
        <w:t>.</w:t>
      </w:r>
    </w:p>
    <w:p w14:paraId="411AC49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სასიგნალო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3285)</w:t>
      </w:r>
    </w:p>
    <w:p w14:paraId="3AF51486" w14:textId="77777777" w:rsidR="00000000" w:rsidRDefault="00DB6B64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21249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14:paraId="7D85420A" w14:textId="77777777" w:rsidR="00000000" w:rsidRDefault="00DB6B64">
      <w:pPr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7C4378A2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377DA8F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68087597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794134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B52498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E49E131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თოფი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1350E5F4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კარაბინი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შაშხანა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14:paraId="21926A4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ხრახნილლულიანი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თოფი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lang w:eastAsia="x-none"/>
        </w:rPr>
        <w:t xml:space="preserve"> </w:t>
      </w:r>
    </w:p>
    <w:p w14:paraId="0903045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53C9AD4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7B0987C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თავდაცვის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3285)</w:t>
      </w:r>
    </w:p>
    <w:p w14:paraId="37AB01B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თავდაცვისაა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14:paraId="366C847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>:</w:t>
      </w:r>
    </w:p>
    <w:p w14:paraId="7C23C18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;   </w:t>
      </w:r>
    </w:p>
    <w:p w14:paraId="02C3ECC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;   </w:t>
      </w:r>
    </w:p>
    <w:p w14:paraId="3160341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აეროზოლური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>;</w:t>
      </w:r>
    </w:p>
    <w:p w14:paraId="52BB120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ელექტროშოკური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>.</w:t>
      </w:r>
    </w:p>
    <w:p w14:paraId="6DAE6AF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74A147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000F75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01EC9E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სპორტული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3285)</w:t>
      </w:r>
    </w:p>
    <w:p w14:paraId="4835A82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სპორტულია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საკვალიფიკაციო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შეჯიბრებებში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>.</w:t>
      </w:r>
    </w:p>
    <w:p w14:paraId="4D816B5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>:</w:t>
      </w:r>
    </w:p>
    <w:p w14:paraId="79009E4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:</w:t>
      </w:r>
    </w:p>
    <w:p w14:paraId="27C525A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;</w:t>
      </w:r>
    </w:p>
    <w:p w14:paraId="5141FD9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BAA4AB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;</w:t>
      </w:r>
    </w:p>
    <w:p w14:paraId="7F02406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პნევმატური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.</w:t>
      </w:r>
    </w:p>
    <w:p w14:paraId="146D801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7D8CA8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62DD74E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64DAAB0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სანადირო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3285)</w:t>
      </w:r>
    </w:p>
    <w:p w14:paraId="33E098C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სან</w:t>
      </w:r>
      <w:r>
        <w:rPr>
          <w:rFonts w:ascii="Sylfaen" w:eastAsia="Times New Roman" w:hAnsi="Sylfaen" w:cs="Sylfaen"/>
          <w:lang w:val="en-US"/>
        </w:rPr>
        <w:t>ადიროა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სარეწაო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სამოყვარულო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ნადირობისათვის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4A5173E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>:</w:t>
      </w:r>
    </w:p>
    <w:p w14:paraId="31D7BFC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გლუვლულიანი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თოფი</w:t>
      </w:r>
      <w:r>
        <w:rPr>
          <w:rFonts w:ascii="Sylfaen" w:eastAsia="Times New Roman" w:hAnsi="Sylfaen" w:cs="Sylfaen"/>
          <w:lang w:val="en-US"/>
        </w:rPr>
        <w:t>);</w:t>
      </w:r>
    </w:p>
    <w:p w14:paraId="3CE4255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კარაბინი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შაშხანა</w:t>
      </w:r>
      <w:r>
        <w:rPr>
          <w:rFonts w:ascii="Sylfaen" w:eastAsia="Times New Roman" w:hAnsi="Sylfaen" w:cs="Sylfaen"/>
          <w:lang w:val="en-US"/>
        </w:rPr>
        <w:t xml:space="preserve">); </w:t>
      </w:r>
    </w:p>
    <w:p w14:paraId="1779F086" w14:textId="77777777" w:rsidR="00000000" w:rsidRDefault="00DB6B64">
      <w:pPr>
        <w:pStyle w:val="Normal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კომბინირებული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გლუვლულიანი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თოფი</w:t>
      </w:r>
      <w:r>
        <w:rPr>
          <w:rFonts w:ascii="Sylfaen" w:eastAsia="Times New Roman" w:hAnsi="Sylfaen" w:cs="Sylfaen"/>
          <w:lang w:val="en-US"/>
        </w:rPr>
        <w:t>);</w:t>
      </w:r>
    </w:p>
    <w:p w14:paraId="3C0CFDB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;</w:t>
      </w:r>
    </w:p>
    <w:p w14:paraId="596D9EA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პნევმატური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>.</w:t>
      </w:r>
    </w:p>
    <w:p w14:paraId="5D6B883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14:paraId="0154836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14:paraId="224140A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</w:p>
    <w:p w14:paraId="3C5A691D" w14:textId="77777777" w:rsidR="00000000" w:rsidRDefault="00DB6B64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საკოლექციო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eastAsia="x-none"/>
        </w:rPr>
        <w:t>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89)</w:t>
      </w:r>
    </w:p>
    <w:p w14:paraId="737F5B1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საკოლექციოდ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კოლექციო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7D6192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6B90F0E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</w:p>
    <w:p w14:paraId="3277674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14:paraId="29C1C4A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სამსახურებრივ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საშტატო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</w:t>
      </w:r>
    </w:p>
    <w:p w14:paraId="09A29E9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en-US"/>
        </w:rPr>
      </w:pPr>
    </w:p>
    <w:p w14:paraId="3EAB428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სამსახურებრივ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საშტატო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</w:t>
      </w:r>
    </w:p>
    <w:p w14:paraId="4B24F57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>.</w:t>
      </w:r>
    </w:p>
    <w:p w14:paraId="63E897D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(27.06.2</w:t>
      </w:r>
      <w:r>
        <w:rPr>
          <w:rFonts w:ascii="Sylfaen" w:hAnsi="Sylfaen" w:cs="Sylfaen"/>
          <w:sz w:val="20"/>
          <w:szCs w:val="20"/>
          <w:lang w:val="en-US"/>
        </w:rPr>
        <w:t xml:space="preserve">008.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74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D15D7E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მოხელეებს</w:t>
      </w:r>
      <w:r>
        <w:rPr>
          <w:rFonts w:ascii="Sylfaen" w:eastAsia="Times New Roman" w:hAnsi="Sylfaen" w:cs="Sylfaen"/>
          <w:lang w:val="en-US"/>
        </w:rPr>
        <w:t>;</w:t>
      </w:r>
    </w:p>
    <w:p w14:paraId="7A0815E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მოხელეებს</w:t>
      </w:r>
      <w:r>
        <w:rPr>
          <w:rFonts w:ascii="Sylfaen" w:eastAsia="Times New Roman" w:hAnsi="Sylfaen" w:cs="Sylfaen"/>
          <w:lang w:val="en-US"/>
        </w:rPr>
        <w:t>;</w:t>
      </w:r>
    </w:p>
    <w:p w14:paraId="233E05A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3931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D6CC34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8D015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227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</w:t>
      </w:r>
      <w:r>
        <w:rPr>
          <w:rFonts w:ascii="Sylfaen" w:eastAsia="Times New Roman" w:hAnsi="Sylfaen" w:cs="Sylfaen"/>
          <w:sz w:val="20"/>
          <w:szCs w:val="20"/>
          <w:lang w:val="en-US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C79526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(26.03.2010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2869)</w:t>
      </w:r>
    </w:p>
    <w:p w14:paraId="055C0820" w14:textId="77777777" w:rsidR="00000000" w:rsidRDefault="00DB6B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117)</w:t>
      </w:r>
    </w:p>
    <w:p w14:paraId="36B07616" w14:textId="77777777" w:rsidR="00000000" w:rsidRDefault="00DB6B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(27.04.2010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2988)</w:t>
      </w:r>
    </w:p>
    <w:p w14:paraId="2AAF084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მოხელეებს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7DC6C6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</w:t>
      </w:r>
      <w:r>
        <w:rPr>
          <w:rFonts w:ascii="Sylfaen" w:eastAsia="Times New Roman" w:hAnsi="Sylfaen" w:cs="Sylfaen"/>
          <w:lang w:eastAsia="x-none"/>
        </w:rPr>
        <w:t>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პროკურატურის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მოხელეს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(30.11.2018.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№3798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7E3837A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მოსამართლეებს</w:t>
      </w:r>
      <w:r>
        <w:rPr>
          <w:rFonts w:ascii="Sylfaen" w:eastAsia="Times New Roman" w:hAnsi="Sylfaen" w:cs="Sylfaen"/>
          <w:lang w:val="en-US"/>
        </w:rPr>
        <w:t>;</w:t>
      </w:r>
    </w:p>
    <w:p w14:paraId="4DBC32B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მანდ</w:t>
      </w:r>
      <w:r>
        <w:rPr>
          <w:rFonts w:ascii="Sylfaen" w:eastAsia="Times New Roman" w:hAnsi="Sylfaen" w:cs="Sylfaen"/>
          <w:lang w:val="en-US"/>
        </w:rPr>
        <w:t>ატურებს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7F2C570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1703)</w:t>
      </w:r>
    </w:p>
    <w:p w14:paraId="478D388C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487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FBF2B0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eastAsia="x-none"/>
        </w:rPr>
        <w:t>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en-US"/>
        </w:rPr>
        <w:t xml:space="preserve">         </w:t>
      </w:r>
    </w:p>
    <w:p w14:paraId="33E3638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) 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ინკასატორებსა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მოლარეებს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>;</w:t>
      </w:r>
    </w:p>
    <w:p w14:paraId="356EB2D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en-US"/>
        </w:rPr>
        <w:t>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საფოსტო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გზავნილების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5201)</w:t>
      </w:r>
    </w:p>
    <w:p w14:paraId="72CF0EA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ავი</w:t>
      </w:r>
      <w:r>
        <w:rPr>
          <w:rFonts w:ascii="Sylfaen" w:eastAsia="Times New Roman" w:hAnsi="Sylfaen" w:cs="Sylfaen"/>
          <w:lang w:val="en-US"/>
        </w:rPr>
        <w:t>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საავიაციო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ქვედანაყოფის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>;</w:t>
      </w:r>
    </w:p>
    <w:p w14:paraId="0C714FB8" w14:textId="77777777" w:rsidR="00000000" w:rsidRDefault="00DB6B6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პრეზიდიუმის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(22.06.2012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6550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20C0AD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არლამენტის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(21.12</w:t>
      </w:r>
      <w:r>
        <w:rPr>
          <w:rFonts w:ascii="Sylfaen" w:hAnsi="Sylfaen" w:cs="Sylfaen"/>
          <w:sz w:val="20"/>
          <w:szCs w:val="20"/>
          <w:lang w:val="en-US"/>
        </w:rPr>
        <w:t>.2016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135)</w:t>
      </w:r>
      <w:r>
        <w:rPr>
          <w:rFonts w:ascii="Sylfaen" w:hAnsi="Sylfaen" w:cs="Sylfaen"/>
          <w:sz w:val="20"/>
          <w:szCs w:val="20"/>
          <w:lang w:eastAsia="x-none"/>
        </w:rPr>
        <w:t xml:space="preserve"> (27.10.2015.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4357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hAnsi="Sylfaen" w:cs="Sylfaen"/>
          <w:sz w:val="20"/>
          <w:szCs w:val="20"/>
          <w:lang w:val="en-US"/>
        </w:rPr>
        <w:t xml:space="preserve">) </w:t>
      </w:r>
    </w:p>
    <w:p w14:paraId="5309323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№3591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2D7A2A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4405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58879A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AFB4F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eastAsia="Times New Roman" w:hAnsi="Sylfaen" w:cs="Sylfaen"/>
          <w:lang w:val="ka-GE" w:eastAsia="ka-GE"/>
        </w:rPr>
        <w:t>რ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lang w:val="ka-GE" w:eastAsia="ka-GE"/>
        </w:rPr>
        <w:t>ამოღებულია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1703)</w:t>
      </w:r>
    </w:p>
    <w:p w14:paraId="32BF2607" w14:textId="77777777" w:rsidR="00000000" w:rsidRDefault="00DB6B64">
      <w:pPr>
        <w:ind w:firstLine="709"/>
        <w:jc w:val="both"/>
        <w:rPr>
          <w:rFonts w:ascii="Sylfaen" w:hAnsi="Sylfaen" w:cs="Sylfaen"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უზენაესი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სერჟანტის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A22A565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135)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4E2FFF2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225BCDB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36EEA8F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საშტატო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ტარება</w:t>
      </w:r>
    </w:p>
    <w:p w14:paraId="7CD4BEE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ACA67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627A271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მოძალადე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</w:t>
      </w:r>
      <w:r>
        <w:rPr>
          <w:rFonts w:ascii="Sylfaen" w:eastAsia="Times New Roman" w:hAnsi="Sylfaen" w:cs="Sylfaen"/>
          <w:lang w:val="ka-GE" w:eastAsia="ka-GE"/>
        </w:rPr>
        <w:t>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39DE9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5E1C324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14:paraId="7AC179D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</w:t>
      </w:r>
    </w:p>
    <w:p w14:paraId="6B6C898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3DE5825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</w:t>
      </w:r>
    </w:p>
    <w:p w14:paraId="28C5622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</w:t>
      </w:r>
      <w:r>
        <w:rPr>
          <w:rFonts w:ascii="Sylfaen" w:eastAsia="Times New Roman" w:hAnsi="Sylfaen" w:cs="Sylfaen"/>
          <w:lang w:val="ka-GE" w:eastAsia="ka-GE"/>
        </w:rPr>
        <w:t>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</w:t>
      </w:r>
      <w:r>
        <w:rPr>
          <w:rFonts w:ascii="Sylfaen" w:eastAsia="Times New Roman" w:hAnsi="Sylfaen" w:cs="Sylfaen"/>
          <w:lang w:val="ka-GE" w:eastAsia="ka-GE"/>
        </w:rPr>
        <w:t>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</w:t>
      </w:r>
      <w:r>
        <w:rPr>
          <w:rFonts w:ascii="Sylfaen" w:eastAsia="Times New Roman" w:hAnsi="Sylfaen" w:cs="Sylfaen"/>
          <w:lang w:val="ka-GE" w:eastAsia="ka-GE"/>
        </w:rPr>
        <w:t>ელებისთვის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52336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(29.11.2013. N1685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78ABEB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50C3A3E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4. </w:t>
      </w:r>
      <w:r>
        <w:rPr>
          <w:rFonts w:ascii="Sylfaen" w:eastAsia="Times New Roman" w:hAnsi="Sylfaen" w:cs="Sylfaen"/>
          <w:lang w:val="ka-GE" w:eastAsia="ka-GE"/>
        </w:rPr>
        <w:t>აკრძალ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დისლოკაციის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74004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3B8D7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(23.06.2006.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3378)</w:t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</w:p>
    <w:p w14:paraId="4CAE066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u w:val="single"/>
          <w:lang w:val="ka-GE" w:eastAsia="ka-GE"/>
        </w:rPr>
      </w:pPr>
    </w:p>
    <w:p w14:paraId="4B37D1B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14:paraId="37762E5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4BDC313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59590FF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საშტატო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48C6D378" w14:textId="77777777" w:rsidR="00000000" w:rsidRDefault="00DB6B64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ცივი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0EAB80C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6478387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1C30A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კასტეტი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დასარტყამ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დამაქუცმაცებელი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დამამსხვრეველი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848D8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ჯავშანგამტანი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ცეცხლგამჩენი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აფეთქებითი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3659D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ემყარება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</w:t>
      </w:r>
      <w:r>
        <w:rPr>
          <w:rFonts w:ascii="Sylfaen" w:eastAsia="Times New Roman" w:hAnsi="Sylfaen" w:cs="Sylfaen"/>
          <w:lang w:val="ka-GE" w:eastAsia="ka-GE"/>
        </w:rPr>
        <w:t>ოენერგიას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22941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ნერვულ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პარალიტიკური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დამბლადამცემი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მომწამვლელი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97BBD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0D717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დასახშობად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EC66D3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გრძელლულიანი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59D843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მართლსაწინააღმდეგოდ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CA69A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2448B1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=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99575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07B75D0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207797A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2702970C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>პის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6980FA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F85B396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747673E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950A8FC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66FC83A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9613C8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ბალისტიკური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425AD5C3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ტიპი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მასროთეკაში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ექსპერიმენტული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1C77CD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D0C5C1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364D2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>);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343AA6B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1B64EB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sz w:val="20"/>
          <w:szCs w:val="20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3AFB776B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211ADD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</w:t>
      </w:r>
      <w:r>
        <w:rPr>
          <w:rFonts w:ascii="Sylfaen" w:eastAsia="Times New Roman" w:hAnsi="Sylfaen" w:cs="Sylfaen"/>
          <w:lang w:val="ka-GE" w:eastAsia="ka-GE"/>
        </w:rPr>
        <w:t>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1065B3" w14:textId="77777777" w:rsidR="00000000" w:rsidRDefault="00DB6B64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7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791A86ED" w14:textId="77777777" w:rsidR="00000000" w:rsidRDefault="00DB6B64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9B7188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5.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34B23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10A579D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</w:t>
      </w:r>
      <w:r>
        <w:rPr>
          <w:rFonts w:ascii="Sylfaen" w:hAnsi="Sylfaen" w:cs="Sylfaen"/>
          <w:b/>
          <w:bCs/>
          <w:position w:val="18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დასამტკიცებელი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3F033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76C43D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F7301D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A1A8F8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01735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</w:t>
      </w:r>
      <w:r>
        <w:rPr>
          <w:rFonts w:ascii="Sylfaen" w:eastAsia="Times New Roman" w:hAnsi="Sylfaen" w:cs="Sylfaen"/>
          <w:lang w:val="ka-GE" w:eastAsia="ka-GE"/>
        </w:rPr>
        <w:t>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AB2415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</w:t>
      </w:r>
      <w:r>
        <w:rPr>
          <w:rFonts w:ascii="Sylfaen" w:eastAsia="Times New Roman" w:hAnsi="Sylfaen" w:cs="Sylfaen"/>
          <w:lang w:val="ka-GE" w:eastAsia="ka-GE"/>
        </w:rPr>
        <w:t>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80BE8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</w:t>
      </w:r>
      <w:r>
        <w:rPr>
          <w:rFonts w:ascii="Sylfaen" w:eastAsia="Times New Roman" w:hAnsi="Sylfaen" w:cs="Sylfaen"/>
          <w:lang w:val="ka-GE" w:eastAsia="ka-GE"/>
        </w:rPr>
        <w:t>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D1A35D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ხასიათებლებს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90F33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0CF6AF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471B0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E40C0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71AEF20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შეკეთება</w:t>
      </w:r>
    </w:p>
    <w:p w14:paraId="5F88BC1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</w:t>
      </w:r>
      <w:r>
        <w:rPr>
          <w:rFonts w:ascii="Sylfaen" w:eastAsia="Times New Roman" w:hAnsi="Sylfaen" w:cs="Sylfaen"/>
          <w:lang w:val="ka-GE" w:eastAsia="ka-GE"/>
        </w:rPr>
        <w:t>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იწარმოებს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A3CA9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9FEAB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FBF22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6685984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2E2F10DE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მოქალაქო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შეკეთების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საფუძველ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EA6D5E9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შეკეთების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41692D80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B0369E1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რეესტრში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D01C989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89D5CB8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27FAD16B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40AFCA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სერტიფიკ</w:t>
      </w:r>
      <w:r>
        <w:rPr>
          <w:rFonts w:ascii="Sylfaen" w:eastAsia="Times New Roman" w:hAnsi="Sylfaen" w:cs="Sylfaen"/>
          <w:color w:val="000000"/>
          <w:lang w:val="ka-GE" w:eastAsia="ka-GE"/>
        </w:rPr>
        <w:t>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38A4C1E2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დაეხმარებიან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3AECB5A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სახანძრო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3BC03C8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5EE9B917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საბუთი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76E925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(29.05.2015. N3671)</w:t>
      </w:r>
    </w:p>
    <w:p w14:paraId="77F16F3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0444A01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</w:t>
      </w:r>
      <w:r>
        <w:rPr>
          <w:rFonts w:ascii="Sylfaen" w:eastAsia="Times New Roman" w:hAnsi="Sylfaen" w:cs="Sylfaen"/>
          <w:color w:val="000000"/>
          <w:lang w:val="ka-GE" w:eastAsia="ka-GE"/>
        </w:rPr>
        <w:t>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7BE9029" w14:textId="77777777" w:rsidR="00000000" w:rsidRDefault="00DB6B64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</w:t>
      </w:r>
      <w:r>
        <w:rPr>
          <w:rFonts w:ascii="Sylfaen" w:eastAsia="Times New Roman" w:hAnsi="Sylfaen" w:cs="Sylfaen"/>
          <w:color w:val="000000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შექმნილ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ასეთი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4AD4DC2" w14:textId="77777777" w:rsidR="00000000" w:rsidRDefault="00DB6B64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>.  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-1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478CF5A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შეძენილი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აღრიცხვა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შენახვა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05B8C9E9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>)  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მქონე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პირზე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D2692A3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მოახდინოს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საქონლის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6BD44A62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-19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>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A368344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საკომისიო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ჩაიბაროს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საკომისიო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856B6A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lang w:val="ka-GE" w:eastAsia="ka-GE"/>
        </w:rPr>
        <w:t>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საკომისიო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 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ნუსხა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ტიპი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მარკა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მოდელი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ნომერი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კალიბრი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მყიდველის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ბაზაში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შინაგან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დანაყოფებს</w:t>
      </w:r>
      <w:r>
        <w:rPr>
          <w:rFonts w:ascii="Sylfaen" w:eastAsia="Times New Roman" w:hAnsi="Sylfaen" w:cs="Sylfaen"/>
          <w:color w:val="000000"/>
          <w:lang w:val="ka-GE" w:eastAsia="ka-GE"/>
        </w:rPr>
        <w:t>;  </w:t>
      </w:r>
    </w:p>
    <w:p w14:paraId="21AABEB3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 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შენახვის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E62A72E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შემძენ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ფიზიკუ</w:t>
      </w:r>
      <w:r>
        <w:rPr>
          <w:rFonts w:ascii="Sylfaen" w:eastAsia="Times New Roman" w:hAnsi="Sylfaen" w:cs="Sylfaen"/>
          <w:color w:val="000000"/>
          <w:lang w:val="ka-GE" w:eastAsia="ka-GE"/>
        </w:rPr>
        <w:t>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შეძენილი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გადასცეს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9B4547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დაიცვას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61A5C3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2.07.2010. N3285)</w:t>
      </w:r>
    </w:p>
    <w:p w14:paraId="2C514A4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9C6A6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1CA9CF2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დელტა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97BC7D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5CADFB9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199A8995" w14:textId="77777777" w:rsidR="00000000" w:rsidRDefault="00DB6B64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18. 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89CE0E9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156D24F0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</w:t>
      </w:r>
      <w:r>
        <w:rPr>
          <w:rFonts w:ascii="Sylfaen" w:eastAsia="Times New Roman" w:hAnsi="Sylfaen" w:cs="Sylfaen"/>
          <w:color w:val="000000"/>
          <w:lang w:val="ka-GE" w:eastAsia="ka-GE"/>
        </w:rPr>
        <w:t>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72EB9F2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მეწარმეთა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რეესტრში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76A03993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დამფუძნებლის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შტატით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ცნ</w:t>
      </w:r>
      <w:r>
        <w:rPr>
          <w:rFonts w:ascii="Sylfaen" w:eastAsia="Times New Roman" w:hAnsi="Sylfaen" w:cs="Sylfaen"/>
          <w:lang w:val="ka-GE" w:eastAsia="ka-GE"/>
        </w:rPr>
        <w:t>ობები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CDB33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მეწარმისათვის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:</w:t>
      </w:r>
    </w:p>
    <w:p w14:paraId="1D62084C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</w:t>
      </w:r>
      <w:r>
        <w:rPr>
          <w:rFonts w:ascii="Sylfaen" w:eastAsia="Times New Roman" w:hAnsi="Sylfaen" w:cs="Sylfaen"/>
          <w:lang w:val="ka-GE" w:eastAsia="ka-GE"/>
        </w:rPr>
        <w:t>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4E51D0E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74988CEE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color w:val="000000"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რიღის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დაეხმარებიან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B63876A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ცნობა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სახანძრო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</w:t>
      </w:r>
      <w:r>
        <w:rPr>
          <w:rFonts w:ascii="Sylfaen" w:eastAsia="Times New Roman" w:hAnsi="Sylfaen" w:cs="Sylfaen"/>
          <w:color w:val="000000"/>
          <w:lang w:val="ka-GE" w:eastAsia="ka-GE"/>
        </w:rPr>
        <w:t>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544EB83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შენობა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6AFDCD20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ზ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საბუთი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5B338D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3671)</w:t>
      </w:r>
    </w:p>
    <w:p w14:paraId="67985F7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B92CCB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1685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9C37D3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BA680F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1685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4DAD639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0FD32B2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332AEB4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108FFB0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E9DE9E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</w:t>
      </w:r>
      <w:r>
        <w:rPr>
          <w:rFonts w:ascii="Sylfaen" w:eastAsia="Times New Roman" w:hAnsi="Sylfaen" w:cs="Sylfaen"/>
          <w:lang w:val="ka-GE" w:eastAsia="ka-GE"/>
        </w:rPr>
        <w:t>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23ED4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52C86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0EDE40A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სარეწაო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</w:t>
      </w:r>
      <w:r>
        <w:rPr>
          <w:rFonts w:ascii="Sylfaen" w:eastAsia="Times New Roman" w:hAnsi="Sylfaen" w:cs="Sylfaen"/>
          <w:lang w:val="ka-GE" w:eastAsia="ka-GE"/>
        </w:rPr>
        <w:t>ყვარულო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63139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კოლექციონირებასა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F4832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57E7E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(24.04.2012. N6058)</w:t>
      </w:r>
    </w:p>
    <w:p w14:paraId="70684B0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6C12472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44031E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C8490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A796E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353BB5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0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7E4783C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განპიროვნება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981EF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შეძენიდან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E905A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შეძენიდან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6C8AD7A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57FB81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FC5705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4749A3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84D288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31919F0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04E3E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A8EFD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გრძელლულიან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705BE6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676C0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შეუნარჩუნდა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A95D1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64BC1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912A9B" w14:textId="77777777" w:rsidR="00000000" w:rsidRDefault="00DB6B6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331C4B22" w14:textId="77777777" w:rsidR="00000000" w:rsidRDefault="00DB6B6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5F7B347C" w14:textId="77777777" w:rsidR="00000000" w:rsidRDefault="00DB6B6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color w:val="FF00FF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9970C9" w14:textId="77777777" w:rsidR="00000000" w:rsidRDefault="00DB6B6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5D888C8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აეროზოლური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სასიგნალო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84427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მოძალადეს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t>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764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F732F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</w:t>
      </w:r>
      <w:r>
        <w:rPr>
          <w:rFonts w:ascii="Sylfaen" w:eastAsia="Times New Roman" w:hAnsi="Sylfaen" w:cs="Sylfaen"/>
          <w:lang w:val="ka-GE" w:eastAsia="ka-GE"/>
        </w:rPr>
        <w:t>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</w:t>
      </w:r>
      <w:r>
        <w:rPr>
          <w:rFonts w:ascii="Sylfaen" w:eastAsia="Times New Roman" w:hAnsi="Sylfaen" w:cs="Sylfaen"/>
          <w:lang w:val="ka-GE" w:eastAsia="ka-GE"/>
        </w:rPr>
        <w:t>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4138)</w:t>
      </w:r>
    </w:p>
    <w:p w14:paraId="0C69FB4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4138)</w:t>
      </w:r>
    </w:p>
    <w:p w14:paraId="58D8ACD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0B6B0E0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25068B5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14:paraId="071C968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</w:p>
    <w:p w14:paraId="6EC7473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</w:p>
    <w:p w14:paraId="6E037C6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</w:t>
      </w:r>
      <w:r>
        <w:rPr>
          <w:rFonts w:ascii="Sylfaen" w:eastAsia="Times New Roman" w:hAnsi="Sylfaen" w:cs="Sylfaen"/>
          <w:lang w:val="ka-GE" w:eastAsia="ka-GE"/>
        </w:rPr>
        <w:t>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დაზვერვის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14:paraId="16C7F4C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ცეცხლსასრო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053D4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0D546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3. 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მოძალადისათვის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შენახვი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ოძალადისათვის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E6B5A9D" w14:textId="77777777" w:rsidR="00000000" w:rsidRDefault="00DB6B64">
      <w:pPr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მასროთეკაში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№1325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   </w:t>
      </w:r>
    </w:p>
    <w:p w14:paraId="77803484" w14:textId="77777777" w:rsidR="00000000" w:rsidRDefault="00DB6B64">
      <w:pPr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6B92F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F277B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გამოირიცხება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უნებლიე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E824E4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DBFE2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B1979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1B10BCD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6C29672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</w:p>
    <w:p w14:paraId="0B676EA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A0DDA8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20848A2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ვაზნამდე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ხრახნილლულიანი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ვაზნამდე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კილოგრამამდე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დენთის</w:t>
      </w:r>
      <w:r>
        <w:rPr>
          <w:rFonts w:ascii="Sylfaen" w:hAnsi="Sylfaen" w:cs="Sylfaen"/>
          <w:color w:val="0000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B4438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ვაზნისა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79901BB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84FF3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ვთიერ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40E8C9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2F12C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(29.05.2020.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91-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14:paraId="62F0392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CC82D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</w:t>
      </w:r>
      <w:r>
        <w:rPr>
          <w:rFonts w:ascii="Sylfaen" w:eastAsia="Times New Roman" w:hAnsi="Sylfaen" w:cs="Sylfaen"/>
          <w:lang w:val="ka-GE" w:eastAsia="ka-GE"/>
        </w:rPr>
        <w:t>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C4CA33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C8DDAA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განმუხტულ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დაშლილ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0AD1A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შალითაში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გამოირიცხოს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19ACFE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70E3E0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86E5D6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2D01D72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3AA745B0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E2940F6" w14:textId="77777777" w:rsidR="00000000" w:rsidRDefault="00DB6B64">
      <w:pPr>
        <w:jc w:val="both"/>
        <w:rPr>
          <w:rFonts w:ascii="Sylfaen" w:hAnsi="Sylfaen" w:cs="Sylfaen"/>
          <w:lang w:val="ka-GE" w:eastAsia="ka-GE"/>
        </w:rPr>
      </w:pPr>
    </w:p>
    <w:p w14:paraId="4FADF6E8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გამოსაჩენად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დემონსტრირებად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E5FE71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უჭირავს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5F1EED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განმუხტულ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ვაზნებისგან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3236D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A6E167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3C61B185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აბრძოლო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ტექნიკის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მომსახურების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14:paraId="0AE41BA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</w:p>
    <w:p w14:paraId="6C0685F3" w14:textId="77777777" w:rsidR="00000000" w:rsidRDefault="00DB6B64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ექსპორ</w:t>
      </w:r>
      <w:r>
        <w:rPr>
          <w:rFonts w:ascii="Sylfaen" w:eastAsia="Times New Roman" w:hAnsi="Sylfaen" w:cs="Sylfaen"/>
          <w:color w:val="000000"/>
          <w:lang w:val="ka-GE" w:eastAsia="ka-GE"/>
        </w:rPr>
        <w:t>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ტრანზიტი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მისაღებად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-2,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14:paraId="514DADC4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განზრახულობათა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დედანი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განზრახულობ</w:t>
      </w:r>
      <w:r>
        <w:rPr>
          <w:rFonts w:ascii="Sylfaen" w:eastAsia="Times New Roman" w:hAnsi="Sylfaen" w:cs="Sylfaen"/>
          <w:color w:val="000000"/>
          <w:lang w:val="ka-GE" w:eastAsia="ka-GE"/>
        </w:rPr>
        <w:t>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ასლი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2C102706" w14:textId="77777777" w:rsidR="00000000" w:rsidRDefault="00DB6B64">
      <w:pPr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3671)</w:t>
      </w:r>
    </w:p>
    <w:p w14:paraId="02B5DD7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15FDA7E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ქვეყნის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საბოლოო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სერტი</w:t>
      </w:r>
      <w:r>
        <w:rPr>
          <w:rFonts w:ascii="Sylfaen" w:eastAsia="Times New Roman" w:hAnsi="Sylfaen" w:cs="Sylfaen"/>
          <w:color w:val="000000"/>
          <w:lang w:val="ka-GE" w:eastAsia="ka-GE"/>
        </w:rPr>
        <w:t>ფიკატი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როდესაც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მაძიებელი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ითხოვს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ნებართვას</w:t>
      </w:r>
      <w:r>
        <w:rPr>
          <w:rFonts w:ascii="Sylfaen" w:eastAsia="Times New Roman" w:hAnsi="Sylfaen" w:cs="Sylfaen"/>
          <w:color w:val="000000"/>
          <w:lang w:val="ka-GE" w:eastAsia="ka-GE"/>
        </w:rPr>
        <w:t>);</w:t>
      </w:r>
    </w:p>
    <w:p w14:paraId="3F1EE69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3671)</w:t>
      </w:r>
    </w:p>
    <w:p w14:paraId="1F811D0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ჯილდოდ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3671)</w:t>
      </w:r>
    </w:p>
    <w:p w14:paraId="3742634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E7E30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 xml:space="preserve">     4. </w:t>
      </w:r>
      <w:r>
        <w:rPr>
          <w:rFonts w:ascii="Sylfaen" w:eastAsia="Times New Roman" w:hAnsi="Sylfaen" w:cs="Sylfaen"/>
          <w:color w:val="333333"/>
          <w:lang w:val="ka-GE" w:eastAsia="ka-GE"/>
        </w:rPr>
        <w:t>ამ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კონტრაქტების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დედნებ</w:t>
      </w:r>
      <w:r>
        <w:rPr>
          <w:rFonts w:ascii="Sylfaen" w:eastAsia="Times New Roman" w:hAnsi="Sylfaen" w:cs="Sylfaen"/>
          <w:color w:val="333333"/>
          <w:lang w:val="ka-GE" w:eastAsia="ka-GE"/>
        </w:rPr>
        <w:t>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მფლობელი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წარუდგენს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საბაჟო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333333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</w:t>
      </w:r>
    </w:p>
    <w:p w14:paraId="42FC5E0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B0030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აეროზოლური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სასიგნალო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09708D7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3DEEEB7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11CCE02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7BC0AF9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1685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2A1CB86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2ADC0A9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568EDFE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42317338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89)</w:t>
      </w:r>
    </w:p>
    <w:p w14:paraId="7E1E094D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157C6A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7F6C11D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6FF5288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2B21224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312BF5A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-19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</w:t>
      </w:r>
      <w:r>
        <w:rPr>
          <w:rFonts w:ascii="Sylfaen" w:eastAsia="Times New Roman" w:hAnsi="Sylfaen" w:cs="Sylfaen"/>
          <w:lang w:val="ka-GE" w:eastAsia="ka-GE"/>
        </w:rPr>
        <w:t>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FF00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7BB99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8AEED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3931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F91E4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ვაზნის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0C170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hAnsi="Sylfaen" w:cs="Sylfaen"/>
          <w:color w:val="FF00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DB99E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6CAC9F5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3568C34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0F17BD4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14:paraId="1CC521C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51AD0EE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22992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ირგვლივ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5B2F9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3D580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ტირის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სროლას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4A6793E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02A30DE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4459BEE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</w:p>
    <w:p w14:paraId="41FD3ED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2B5FD0C9" w14:textId="77777777" w:rsidR="00000000" w:rsidRDefault="00DB6B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D98856" w14:textId="77777777" w:rsidR="00000000" w:rsidRDefault="00DB6B6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ვაზნისა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ნადირობაზე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ექსპონირებაზე</w:t>
      </w:r>
      <w:r>
        <w:rPr>
          <w:rFonts w:ascii="Sylfaen" w:hAnsi="Sylfaen" w:cs="Sylfaen"/>
          <w:color w:val="FF00FF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5550127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ადაწყვეტამდე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E2885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5201)</w:t>
      </w:r>
    </w:p>
    <w:p w14:paraId="3C96967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7817AAC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3F00443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08454E8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გაუცემლობა</w:t>
      </w:r>
    </w:p>
    <w:p w14:paraId="65E2E13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E6059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რთვაზე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7073A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12922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უვარგისი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7EE2D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4138)</w:t>
      </w:r>
    </w:p>
    <w:p w14:paraId="0CD18D8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არადანიშნულებისამებ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2E4C34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12E4587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72E0F54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</w:t>
      </w:r>
      <w:r>
        <w:rPr>
          <w:rFonts w:ascii="Sylfaen" w:eastAsia="Times New Roman" w:hAnsi="Sylfaen" w:cs="Sylfaen"/>
          <w:lang w:val="ka-GE" w:eastAsia="ka-GE"/>
        </w:rPr>
        <w:t>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D0EE7B4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ტოქსიკომანი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DBA43A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8383BF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061F02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46546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206CE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FFE950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A8602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7E530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43DB4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ტოქსიკომანი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3F30C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142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142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>,  143-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143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143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>), 144-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–144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147-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149-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151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>, 165-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177-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, 187-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 222-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222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223-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–227-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227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227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227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228-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</w:t>
      </w: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256-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259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259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XXXIII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XXXVII </w:t>
      </w:r>
      <w:r>
        <w:rPr>
          <w:rFonts w:ascii="Sylfaen" w:eastAsia="Times New Roman" w:hAnsi="Sylfaen" w:cs="Sylfaen"/>
          <w:lang w:val="ka-GE" w:eastAsia="ka-GE"/>
        </w:rPr>
        <w:t>თავებით</w:t>
      </w:r>
      <w:r>
        <w:rPr>
          <w:rFonts w:ascii="Sylfaen" w:eastAsia="Times New Roman" w:hAnsi="Sylfaen" w:cs="Sylfaen"/>
          <w:lang w:val="ka-GE" w:eastAsia="ka-GE"/>
        </w:rPr>
        <w:t>, 322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322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, XXXVIII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331-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>), 332-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333-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335-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344-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344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345-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>, 353-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353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360-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</w:t>
      </w:r>
      <w:r>
        <w:rPr>
          <w:rFonts w:ascii="Sylfaen" w:eastAsia="Times New Roman" w:hAnsi="Sylfaen" w:cs="Sylfaen"/>
          <w:lang w:val="ka-GE" w:eastAsia="ka-GE"/>
        </w:rPr>
        <w:t>ილით</w:t>
      </w:r>
      <w:r>
        <w:rPr>
          <w:rFonts w:ascii="Sylfaen" w:eastAsia="Times New Roman" w:hAnsi="Sylfaen" w:cs="Sylfaen"/>
          <w:lang w:val="ka-GE" w:eastAsia="ka-GE"/>
        </w:rPr>
        <w:t>, 365-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372-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378-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378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379-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381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384-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386-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389-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 397-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403-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XLVII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</w:t>
      </w:r>
      <w:r>
        <w:rPr>
          <w:rFonts w:ascii="Sylfaen" w:eastAsia="Times New Roman" w:hAnsi="Sylfaen" w:cs="Sylfaen"/>
          <w:lang w:val="ka-GE" w:eastAsia="ka-GE"/>
        </w:rPr>
        <w:t>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ცხლსასროლ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№2397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43FB00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5156BD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ab/>
      </w:r>
    </w:p>
    <w:p w14:paraId="3D7941BD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დეპორტირებულია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იარსებებდა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FDBC88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იარსებებდა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DA8A6D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A15E1D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486F85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8F1CA4A" w14:textId="77777777" w:rsidR="00000000" w:rsidRDefault="00DB6B64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EEA6AED" w14:textId="77777777" w:rsidR="00000000" w:rsidRDefault="00DB6B64">
      <w:pPr>
        <w:tabs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14CB1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12C0AFD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2592B6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D7A02E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1CCED10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36DE3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F73BB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მაძიე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რეალიზებას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lang w:val="ka-GE" w:eastAsia="ka-GE"/>
        </w:rPr>
        <w:t xml:space="preserve">  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7BBBD378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FAC8E90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E620C6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842C84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(</w:t>
      </w:r>
      <w:r>
        <w:rPr>
          <w:lang w:val="ka-GE" w:eastAsia="ka-GE"/>
        </w:rPr>
        <w:t>2</w:t>
      </w:r>
      <w:r>
        <w:rPr>
          <w:position w:val="12"/>
          <w:lang w:val="ka-GE" w:eastAsia="ka-GE"/>
        </w:rPr>
        <w:t>4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ნებართვებისა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მაძიებლები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მსჯავრდების</w:t>
      </w:r>
      <w:r>
        <w:rPr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ნარკოლოგიურ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14:paraId="15AC7C9A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534DFB6" w14:textId="293B1BC1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bookmarkStart w:id="0" w:name="part_1"/>
      <w:bookmarkEnd w:id="0"/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hyperlink r:id="rId4" w:history="1">
        <w:r>
          <w:rPr>
            <w:rFonts w:ascii="Sylfaen" w:eastAsia="Times New Roman" w:hAnsi="Sylfaen" w:cs="Sylfaen"/>
            <w:noProof/>
            <w:lang w:val="ka-GE" w:eastAsia="ka-GE"/>
          </w:rPr>
          <w:t>ნარკოტიკული დანაშაულის წინააღმდეგ ბრძოლის შესახებ</w:t>
        </w:r>
      </w:hyperlink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87712B3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</w:t>
      </w:r>
      <w:r>
        <w:rPr>
          <w:rFonts w:ascii="Sylfaen" w:eastAsia="Times New Roman" w:hAnsi="Sylfaen" w:cs="Sylfaen"/>
          <w:lang w:val="ka-GE" w:eastAsia="ka-GE"/>
        </w:rPr>
        <w:t>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№5756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B151EBC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</w:t>
      </w:r>
      <w:r>
        <w:rPr>
          <w:rFonts w:ascii="Sylfaen" w:eastAsia="Times New Roman" w:hAnsi="Sylfaen" w:cs="Sylfaen"/>
          <w:lang w:val="ka-GE" w:eastAsia="ka-GE"/>
        </w:rPr>
        <w:t>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3671)</w:t>
      </w:r>
    </w:p>
    <w:p w14:paraId="74491DF6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4-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>, 8-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4-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>, 8-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0F566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გაქარწყლების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4-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>, 8-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</w:t>
      </w:r>
      <w:r>
        <w:rPr>
          <w:rFonts w:ascii="Sylfaen" w:eastAsia="Times New Roman" w:hAnsi="Sylfaen" w:cs="Sylfaen"/>
          <w:lang w:val="ka-GE" w:eastAsia="ka-GE"/>
        </w:rPr>
        <w:t>აულს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4-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>, 8-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12-</w:t>
      </w:r>
      <w:r>
        <w:rPr>
          <w:rFonts w:ascii="Sylfaen" w:eastAsia="Times New Roman" w:hAnsi="Sylfaen" w:cs="Sylfaen"/>
          <w:lang w:val="ka-GE" w:eastAsia="ka-GE"/>
        </w:rPr>
        <w:t>წლიან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71DCB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6A2D66F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14:paraId="6AD50A8B" w14:textId="77777777" w:rsidR="00000000" w:rsidRDefault="00DB6B64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026265" w14:textId="77777777" w:rsidR="00000000" w:rsidRDefault="00DB6B64">
      <w:pPr>
        <w:ind w:firstLine="709"/>
        <w:jc w:val="both"/>
        <w:rPr>
          <w:rFonts w:ascii="Sylfaen" w:hAnsi="Sylfaen" w:cs="Sylfaen"/>
          <w:lang w:val="ka-GE" w:eastAsia="ka-GE"/>
        </w:rPr>
      </w:pPr>
    </w:p>
    <w:p w14:paraId="188585C0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568CE0C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0B57E2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B53ED6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387912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89A5DF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DAD1913" w14:textId="77777777" w:rsidR="00000000" w:rsidRDefault="00DB6B64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4A7EF8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9CF12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44DD0AD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6EF4A1A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</w:p>
    <w:p w14:paraId="39E9960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12E2E3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B0B8D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B10D4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56C3D7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46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</w:p>
    <w:p w14:paraId="57A3FCA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მოძალადისათვის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5455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205BB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6BA5D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31C7117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3CF4BCC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14:paraId="13FBA00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</w:t>
      </w:r>
      <w:r>
        <w:rPr>
          <w:rFonts w:ascii="Sylfaen" w:eastAsia="Times New Roman" w:hAnsi="Sylfaen" w:cs="Sylfaen"/>
          <w:lang w:val="ka-GE" w:eastAsia="ka-GE"/>
        </w:rPr>
        <w:t>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9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37C03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70D56E8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46FEBAAA" w14:textId="77777777" w:rsidR="00000000" w:rsidRDefault="00DB6B64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4BE27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3B35B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14:paraId="6987679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დამამზადებლისა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მესაკუთრის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იარაღით</w:t>
      </w:r>
    </w:p>
    <w:p w14:paraId="0A9E171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უფლებამოვალეობანი</w:t>
      </w:r>
    </w:p>
    <w:p w14:paraId="6DE7FA1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7772E59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უფლებამოვალეობანი</w:t>
      </w:r>
    </w:p>
    <w:p w14:paraId="0DDE3DB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1F1DB4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756E0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0A264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6C678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CCCD8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AF4CCC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61563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349CE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73EA2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სათადარიგო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EA1E9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1BA4C44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მესაკუთრის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უფლებამოვალეობანი</w:t>
      </w:r>
    </w:p>
    <w:p w14:paraId="1B0A927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FA19B5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5D08C8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ACEF7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716C686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სარეწაო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</w:t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EDF0A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1367AE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15E54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08D9B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93FE1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86B6C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21FD48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A28206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2070949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3285)</w:t>
      </w:r>
    </w:p>
    <w:p w14:paraId="1A0252E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4138)</w:t>
      </w:r>
    </w:p>
    <w:p w14:paraId="663267A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36BED99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52AF507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უფლებამოვალეობანი</w:t>
      </w:r>
    </w:p>
    <w:p w14:paraId="2AAF162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F110F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02380F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17129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301D2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5DBC20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1AAF646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14:paraId="55AC9A4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59A7E9E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19C5987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14:paraId="4C76DAA2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06AE44A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</w:p>
    <w:p w14:paraId="668D9A2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5FCD4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33538B2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</w:p>
    <w:p w14:paraId="270DB634" w14:textId="77777777" w:rsidR="00000000" w:rsidRDefault="00DB6B64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14:paraId="54139F5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D58EA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0ECE444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14:paraId="1A1F418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3C227033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1037344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14:paraId="30DDB39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</w:t>
      </w:r>
    </w:p>
    <w:p w14:paraId="4440080A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781537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6058)</w:t>
      </w:r>
    </w:p>
    <w:p w14:paraId="676B719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ტრავმული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ვაზნების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შოკური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1FF18FA4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საკოლექციო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hAnsi="Sylfaen" w:cs="Sylfaen"/>
          <w:sz w:val="20"/>
          <w:szCs w:val="20"/>
          <w:lang w:val="ka-GE" w:eastAsia="ka-GE"/>
        </w:rPr>
        <w:t>(25.11.201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4551)</w:t>
      </w:r>
    </w:p>
    <w:p w14:paraId="11203BA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9C5A0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37279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FF5E222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</w:t>
      </w:r>
      <w:r>
        <w:rPr>
          <w:rFonts w:ascii="Sylfaen" w:eastAsia="Times New Roman" w:hAnsi="Sylfaen" w:cs="Sylfaen"/>
          <w:lang w:val="ka-GE" w:eastAsia="ka-GE"/>
        </w:rPr>
        <w:t>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F100E1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6BB7900" w14:textId="77777777" w:rsidR="00000000" w:rsidRDefault="00DB6B6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საექსპორტო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11DD6DB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0C871F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C7F10F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577A35E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C31B9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D069D3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გასროლილი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ტყვია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მასროთეკაში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CB132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5. 2015 </w:t>
      </w:r>
      <w:r>
        <w:rPr>
          <w:rFonts w:ascii="Sylfaen" w:eastAsia="Times New Roman" w:hAnsi="Sylfaen" w:cs="Sylfaen"/>
          <w:lang w:val="ka-GE" w:eastAsia="ka-GE"/>
        </w:rPr>
        <w:t>წლი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3702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6AA07C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14:paraId="53F9EE0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რუსეთის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ფედერაციის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კუთვნილი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362D895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0BFA9FAE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(30.06.2004.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284)</w:t>
      </w:r>
    </w:p>
    <w:p w14:paraId="28CC9E38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DE932C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11C0EE1B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317B439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14:paraId="60DD0A7D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1AE8494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5C5124C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</w:t>
      </w:r>
    </w:p>
    <w:p w14:paraId="2FFBDDC6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6C77D0B7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4B8EE9E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14:paraId="44AF17B5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2D52B9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41CB4020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</w:p>
    <w:p w14:paraId="2D67D8F4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03FACD8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47AA7E91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C65D0F" w14:textId="77777777" w:rsidR="00000000" w:rsidRDefault="00DB6B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2264 </w:t>
      </w:r>
      <w:r>
        <w:rPr>
          <w:rFonts w:ascii="Sylfaen" w:eastAsia="Times New Roman" w:hAnsi="Sylfaen" w:cs="Sylfaen"/>
          <w:lang w:val="ka-GE" w:eastAsia="ka-GE"/>
        </w:rPr>
        <w:t>–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3EED073A" w14:textId="77777777" w:rsidR="00000000" w:rsidRDefault="00DB6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2"/>
          <w:szCs w:val="22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B6B64"/>
    <w:rsid w:val="00D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2C713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widowControl/>
      <w:spacing w:line="360" w:lineRule="auto"/>
      <w:jc w:val="both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CharChar2">
    <w:name w:val="Char Char2"/>
    <w:basedOn w:val="DefaultParagraphFont"/>
    <w:uiPriority w:val="99"/>
    <w:rPr>
      <w:rFonts w:ascii="Times New Roman" w:hAnsi="Times New Roman" w:cs="Times New Roman"/>
    </w:rPr>
  </w:style>
  <w:style w:type="character" w:customStyle="1" w:styleId="CharChar1">
    <w:name w:val="Char Char1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index.php?option=com_ldmssearch&amp;view=docView&amp;id=22132&amp;lang=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13017</Words>
  <Characters>74203</Characters>
  <Application>Microsoft Office Word</Application>
  <DocSecurity>0</DocSecurity>
  <Lines>618</Lines>
  <Paragraphs>174</Paragraphs>
  <ScaleCrop>false</ScaleCrop>
  <Company/>
  <LinksUpToDate>false</LinksUpToDate>
  <CharactersWithSpaces>87046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