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(23.06.99. N 2146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N 27(34))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სახალხო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დამცველის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>(21.07.2010. N3565)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(</w:t>
      </w:r>
      <w:r>
        <w:rPr>
          <w:rFonts w:ascii="Sylfaen" w:hAnsi="Sylfaen" w:cs="Sylfaen"/>
          <w:i/>
          <w:iCs/>
          <w:sz w:val="18"/>
          <w:szCs w:val="18"/>
          <w:lang w:val="en-US"/>
        </w:rPr>
        <w:t>21.07.2010.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663EC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(05.09.208. 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№3371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დადებისთანავე</w:t>
      </w:r>
      <w:r>
        <w:rPr>
          <w:rFonts w:ascii="Sylfaen" w:hAnsi="Sylfaen" w:cs="Sylfaen"/>
          <w:i/>
          <w:iCs/>
          <w:lang w:val="ka-GE" w:eastAsia="ka-GE"/>
        </w:rPr>
        <w:t>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 </w:t>
      </w:r>
      <w:r>
        <w:rPr>
          <w:rFonts w:ascii="Sylfaen" w:hAnsi="Sylfaen" w:cs="Sylfaen"/>
          <w:i/>
          <w:iCs/>
          <w:sz w:val="18"/>
          <w:szCs w:val="18"/>
          <w:lang w:val="en-US"/>
        </w:rPr>
        <w:t>(21.07.2010. N3565)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lang w:val="en-US"/>
        </w:rPr>
        <w:t xml:space="preserve">(14.07.2020 N6849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i/>
          <w:iCs/>
          <w:lang w:val="en-US"/>
        </w:rPr>
        <w:t>(16.07.2009 N 1462)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ფაკულტატური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widowControl/>
        <w:spacing w:line="20" w:lineRule="atLeast"/>
        <w:ind w:firstLine="81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(9.03.2010 N 2711 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663EC1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(02.05.2014. N2395)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>.“.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(02.05.2014. N2395)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  <w:r>
        <w:rPr>
          <w:rFonts w:eastAsia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 xml:space="preserve">2 </w:t>
      </w:r>
      <w:r>
        <w:rPr>
          <w:rFonts w:ascii="Sylfaen" w:hAnsi="Sylfaen" w:cs="Sylfaen"/>
          <w:lang w:val="en-US"/>
        </w:rPr>
        <w:t xml:space="preserve">(20.09.2019 N5005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სექტემბრიდან</w:t>
      </w:r>
      <w:r>
        <w:rPr>
          <w:rFonts w:ascii="Sylfaen" w:eastAsia="Times New Roman" w:hAnsi="Sylfaen" w:cs="Sylfaen"/>
          <w:lang w:val="en-US"/>
        </w:rPr>
        <w:t>. (21.05.2020 N5905))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hAnsi="Sylfaen" w:cs="Sylfaen"/>
          <w:i/>
          <w:iCs/>
          <w:lang w:val="en-US"/>
        </w:rPr>
        <w:t>(21.07.2010.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     </w:t>
      </w:r>
    </w:p>
    <w:p w:rsidR="00000000" w:rsidRDefault="00663EC1">
      <w:pPr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(05.09.208. 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№3371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დადებისთანავე</w:t>
      </w:r>
      <w:r>
        <w:rPr>
          <w:rFonts w:ascii="Sylfaen" w:hAnsi="Sylfaen" w:cs="Sylfaen"/>
          <w:i/>
          <w:iCs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მარეაბილიტირებელ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№3371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</w:t>
      </w:r>
      <w:r>
        <w:rPr>
          <w:rFonts w:ascii="Sylfaen" w:eastAsia="Times New Roman" w:hAnsi="Sylfaen" w:cs="Sylfaen"/>
          <w:lang w:val="en-US"/>
        </w:rPr>
        <w:t>ელს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უნარჩუნდება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შემდეგაც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დაყადაღება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გამოთქმული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შეხედულებებისათვის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შეუფერხებელი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დაბრკოლებათა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ისჯება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სახალხო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დამცველის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არჩევა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უფლებამოსილების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შეწყვეტა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აირჩევა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</w:t>
      </w:r>
      <w:r>
        <w:rPr>
          <w:rFonts w:ascii="Sylfaen" w:eastAsia="Times New Roman" w:hAnsi="Sylfaen" w:cs="Sylfaen"/>
          <w:lang w:val="en-US"/>
        </w:rPr>
        <w:t>აქე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38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lang w:val="ka-GE" w:eastAsia="ka-GE"/>
        </w:rPr>
        <w:t xml:space="preserve">№3905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№3905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en-US"/>
        </w:rPr>
        <w:tab/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№3905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en-US"/>
        </w:rPr>
        <w:tab/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№3905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№3905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en-US"/>
        </w:rPr>
        <w:t xml:space="preserve"> 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ახლად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</w:t>
      </w:r>
      <w:r>
        <w:rPr>
          <w:rFonts w:ascii="Sylfaen" w:eastAsia="Times New Roman" w:hAnsi="Sylfaen" w:cs="Sylfaen"/>
          <w:lang w:val="en-US"/>
        </w:rPr>
        <w:t>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არჩევიდან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(05.09.208. </w:t>
      </w:r>
      <w:r>
        <w:rPr>
          <w:rFonts w:ascii="Sylfaen" w:eastAsia="Times New Roman" w:hAnsi="Sylfaen" w:cs="Sylfaen"/>
          <w:lang w:val="ka-GE" w:eastAsia="ka-GE"/>
        </w:rPr>
        <w:t xml:space="preserve">№3371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დადებისთანავე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(05.09.208.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№3371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სახელოვნებო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</w:t>
      </w:r>
      <w:r>
        <w:rPr>
          <w:rFonts w:ascii="Sylfaen" w:eastAsia="Times New Roman" w:hAnsi="Sylfaen" w:cs="Sylfaen"/>
          <w:lang w:eastAsia="x-none"/>
        </w:rPr>
        <w:t>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შეთავსება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(27.10.2015. N4391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 (21.12.2016. N1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71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არჩევიდა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აირჩევს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№3905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         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№3905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(26.12.2014. N3016)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</w:p>
    <w:p w:rsidR="00000000" w:rsidRDefault="00663EC1">
      <w:pPr>
        <w:pStyle w:val="Normal0"/>
        <w:tabs>
          <w:tab w:val="left" w:pos="9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945" w:hanging="49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1.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663EC1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დაკარ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ზედიზედ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გამამტყუნებელი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განაჩენი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>(20.03.2015. N33</w:t>
      </w:r>
      <w:r>
        <w:rPr>
          <w:rFonts w:ascii="Sylfaen" w:hAnsi="Sylfaen" w:cs="Sylfaen"/>
          <w:lang w:val="en-US"/>
        </w:rPr>
        <w:t>98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დაიკავა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ნებაყოფილობით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გადადგა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გარდაიცვალა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</w:t>
      </w:r>
      <w:r>
        <w:rPr>
          <w:rFonts w:ascii="Sylfaen" w:eastAsia="Times New Roman" w:hAnsi="Sylfaen" w:cs="Sylfaen"/>
          <w:lang w:val="en-US"/>
        </w:rPr>
        <w:t>ნტიდან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 (21.07.2010. N3565)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საგანგე</w:t>
      </w:r>
      <w:r>
        <w:rPr>
          <w:rFonts w:ascii="Sylfaen" w:eastAsia="Times New Roman" w:hAnsi="Sylfaen" w:cs="Sylfaen"/>
          <w:lang w:val="en-US"/>
        </w:rPr>
        <w:t>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ზღუდავს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სახალხო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დამცველის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უფლებამოსილებანი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 </w:t>
      </w:r>
      <w:r>
        <w:rPr>
          <w:rFonts w:ascii="Sylfaen" w:hAnsi="Sylfaen" w:cs="Sylfaen"/>
          <w:i/>
          <w:iCs/>
          <w:lang w:val="en-US"/>
        </w:rPr>
        <w:t>(21.07.2010.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შელახვას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1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მომწესრიგებელი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კონსტიტუციურობას</w:t>
      </w:r>
      <w:r>
        <w:rPr>
          <w:rFonts w:ascii="Sylfaen" w:eastAsia="Times New Roman" w:hAnsi="Sylfaen" w:cs="Sylfaen"/>
          <w:lang w:val="en-US"/>
        </w:rPr>
        <w:t>. (21.07.2010. N3565)</w:t>
      </w:r>
    </w:p>
    <w:p w:rsidR="00000000" w:rsidRDefault="00663EC1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დააბრკოლოს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63EC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(02.05.2014. N2395)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ირიბი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მსხვერპლს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დაასრულოს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უპასუხა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გაიზიარა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ადასტურებ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</w:t>
      </w:r>
      <w:r>
        <w:rPr>
          <w:rFonts w:ascii="Sylfaen" w:hAnsi="Sylfaen" w:cs="Sylfaen"/>
          <w:color w:val="000000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№4550)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</w:t>
      </w:r>
      <w:r>
        <w:rPr>
          <w:rFonts w:ascii="Sylfaen" w:hAnsi="Sylfaen" w:cs="Sylfaen"/>
          <w:color w:val="000000"/>
          <w:lang w:eastAsia="x-none"/>
        </w:rPr>
        <w:tab/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</w:t>
      </w:r>
      <w:r>
        <w:rPr>
          <w:rFonts w:eastAsia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(15.07.2020 N6863) </w:t>
      </w:r>
      <w:r>
        <w:rPr>
          <w:rFonts w:ascii="Sylfaen" w:hAnsi="Sylfaen" w:cs="Sylfaen"/>
          <w:lang w:val="en-US"/>
        </w:rPr>
        <w:t xml:space="preserve">(20.09.2019 N5005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სექტემბრიდან</w:t>
      </w:r>
      <w:r>
        <w:rPr>
          <w:rFonts w:ascii="Sylfaen" w:eastAsia="Times New Roman" w:hAnsi="Sylfaen" w:cs="Sylfaen"/>
          <w:lang w:val="en-US"/>
        </w:rPr>
        <w:t>. (21.05.2020 N5905)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ოავლინოს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63EC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hAnsi="Sylfaen" w:cs="Sylfaen"/>
          <w:i/>
          <w:iCs/>
          <w:lang w:val="ka-GE" w:eastAsia="ka-GE"/>
        </w:rPr>
        <w:t xml:space="preserve">(1.05.2015. N3560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ცენზურა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იბეგრება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 xml:space="preserve">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. (21.07.2010. N3565)    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hAnsi="Sylfaen" w:cs="Sylfaen"/>
          <w:i/>
          <w:iCs/>
          <w:lang w:val="ka-GE" w:eastAsia="ka-GE"/>
        </w:rPr>
        <w:t>(21.07.2010.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გამოსაკვლევ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(03.05.2019. </w:t>
      </w:r>
      <w:r>
        <w:rPr>
          <w:rFonts w:ascii="Sylfaen" w:eastAsia="Times New Roman" w:hAnsi="Sylfaen" w:cs="Sylfaen"/>
          <w:lang w:eastAsia="x-none"/>
        </w:rPr>
        <w:t>№4550)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(11.11.2011 N 5264)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ესაუბრება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(1.05.2015. N3560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(1.05.2015. N3560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663EC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ესაუბრება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თავშეს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აფრებსა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i/>
          <w:iCs/>
          <w:lang w:val="ka-GE" w:eastAsia="ka-GE"/>
        </w:rPr>
        <w:t>(16.07.2009 N 1462)</w:t>
      </w: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მოხუცთა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(11.11.2011 N 5264)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სატელეგრაფო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1.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273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(16.07.2009 N 1462)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სთავაზობს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შეულახავად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(21.0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663EC1">
      <w:pPr>
        <w:widowControl/>
        <w:spacing w:line="20" w:lineRule="atLeast"/>
        <w:ind w:firstLine="230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კანონპროექტებთან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 xml:space="preserve">(9.03.2010 N 2711 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>(24.09.2010 N 3621)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(Amicus Curiae)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>(11.11.2011 N 5264)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 xml:space="preserve">(18.09.2013. N1082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.)</w:t>
      </w:r>
    </w:p>
    <w:p w:rsidR="00000000" w:rsidRDefault="00663EC1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i/>
          <w:iCs/>
          <w:lang w:val="ka-GE" w:eastAsia="ka-GE"/>
        </w:rPr>
        <w:t>(12.07.2013 N 835)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(21.07.2010. N3565)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(13.12.2013. N1800)</w:t>
      </w:r>
    </w:p>
    <w:p w:rsidR="00000000" w:rsidRDefault="006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გარანტიები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გამოსაკვლევ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       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(21.07.2010. N3565)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(21.07.2010. N3565)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№4550)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hAnsi="Sylfaen" w:cs="Sylfaen"/>
          <w:lang w:val="ka-GE" w:eastAsia="ka-GE"/>
        </w:rPr>
        <w:t xml:space="preserve"> (15.07.2020 N6862)</w:t>
      </w:r>
    </w:p>
    <w:p w:rsidR="00000000" w:rsidRDefault="00663EC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hAnsi="Sylfaen" w:cs="Sylfaen"/>
          <w:i/>
          <w:iCs/>
          <w:lang w:val="ka-GE" w:eastAsia="ka-GE"/>
        </w:rPr>
        <w:t>(21.07.2010. N3565)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</w:t>
      </w:r>
      <w:r>
        <w:rPr>
          <w:rFonts w:ascii="Sylfaen" w:eastAsia="Times New Roman" w:hAnsi="Sylfaen" w:cs="Sylfaen"/>
          <w:lang w:val="ka-GE" w:eastAsia="ka-GE"/>
        </w:rPr>
        <w:t>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63EC1">
      <w:pPr>
        <w:widowControl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(11.11.2011 N 5264)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სტრუქტურა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63EC1">
      <w:pPr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 </w:t>
      </w:r>
      <w:r>
        <w:rPr>
          <w:rFonts w:ascii="Sylfaen" w:hAnsi="Sylfaen" w:cs="Sylfaen"/>
          <w:i/>
          <w:iCs/>
          <w:lang w:val="ka-GE" w:eastAsia="ka-GE"/>
        </w:rPr>
        <w:t>(26.12.</w:t>
      </w:r>
      <w:r>
        <w:rPr>
          <w:rFonts w:ascii="Sylfaen" w:hAnsi="Sylfaen" w:cs="Sylfaen"/>
          <w:i/>
          <w:iCs/>
          <w:lang w:val="ka-GE" w:eastAsia="ka-GE"/>
        </w:rPr>
        <w:t>2014. N3016)</w:t>
      </w:r>
    </w:p>
    <w:p w:rsidR="00000000" w:rsidRDefault="00663EC1">
      <w:pPr>
        <w:tabs>
          <w:tab w:val="left" w:pos="142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tabs>
          <w:tab w:val="left" w:pos="142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63EC1">
      <w:pPr>
        <w:tabs>
          <w:tab w:val="left" w:pos="142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663EC1">
      <w:pPr>
        <w:tabs>
          <w:tab w:val="left" w:pos="142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</w:p>
    <w:p w:rsidR="00000000" w:rsidRDefault="00663EC1">
      <w:pPr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(26.12.2014. N3016)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 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უნარჩუნდება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</w:t>
      </w:r>
      <w:r>
        <w:rPr>
          <w:rFonts w:ascii="Sylfaen" w:eastAsia="Times New Roman" w:hAnsi="Sylfaen" w:cs="Sylfaen"/>
          <w:lang w:val="en-US"/>
        </w:rPr>
        <w:t>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შემდეგაც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დაყადაღება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16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230 - 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63E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3EC1"/>
    <w:rsid w:val="006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5528</Words>
  <Characters>31510</Characters>
  <Application>Microsoft Office Word</Application>
  <DocSecurity>0</DocSecurity>
  <Lines>262</Lines>
  <Paragraphs>73</Paragraphs>
  <ScaleCrop>false</ScaleCrop>
  <Company/>
  <LinksUpToDate>false</LinksUpToDate>
  <CharactersWithSpaces>36965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