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აკუთრებისა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ბუნებათსარგებლობის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კონტინენტური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შელფისა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უვნებელ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ბუნებათსარგებლობა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ახლანდელი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ენდემური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(06.06.2003. N2383)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თვითმყოფადი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გლობალური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ოპტიმალუ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ურთიერთშეთანაწყობა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შეხამება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(18.09.2014. N2657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სახეცვლილი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ურთიერთდამოკიდებულებაში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არაცოცხალ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სახეცვლილ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ანთროპოგენულ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ურთიერთდამოკიდებულებაში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სახეცვლილი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სახეცვლილ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სახეცვლილ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ურთიერთდამოკიდებულებაში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სახეცვლილ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ანთროპოგენულ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18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ატმოსფერული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(25.03.2013. N469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 (13.04.2016. N4955)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ატმოსფერო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ნიადაგი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ბიომრავალფეროვნება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ღონისძიებებსა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საქმიანობებზე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ელემენტების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დასაცავად</w:t>
      </w:r>
      <w:r>
        <w:rPr>
          <w:rFonts w:ascii="Sylfae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ხარჯთსარგებლიანობა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ჯაჭვის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იმდენად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რამდენადაც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sz w:val="24"/>
          <w:szCs w:val="24"/>
          <w:lang w:eastAsia="x-none"/>
        </w:rPr>
        <w:t xml:space="preserve">1.06.2017. N891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hAnsi="Sylfaen" w:cs="Sylfaen"/>
          <w:sz w:val="24"/>
          <w:szCs w:val="24"/>
          <w:lang w:eastAsia="x-none"/>
        </w:rPr>
        <w:t xml:space="preserve">1.06.2017. N891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 (15.07.2020 N6898)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ფენომენების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აკვატორია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უმნიშვნელოვანესი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წარმონაქმნებისა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აღსადგენად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დამზოგავი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შექცევადი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პრიციპები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ჟანეიროს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(United Nations Conference on Environment and Development, Rio de Jeneir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o, 1992)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" "21-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საუკუნის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აკუმულირების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ატმოსფერული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კომპლექსურ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ეფექტურია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ათვისება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განაპირობებდეს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ბიომრავალფეროვნება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მრავალსახეობა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ხმელეთის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კომპლექსები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ნედლეულისაგან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რესურსთდამზოგველი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(07.12.2017. N1698)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ასპექტს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(14.12.2007. N5604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იხელმძღვანელონ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პრიციპებია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შეუქცევადი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ნაკლებრისკიანი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ძვირადღირებული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უკანასკნელს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ნაკლებადღირებული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პრიორიტეტულობის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ზეგავლენა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ძვირად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ძვირად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lang w:val="en-US"/>
        </w:rPr>
        <w:t xml:space="preserve">(2.03.2021 N245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ბუნებათსარგებლობის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დამაბინძურებელი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დამბინძურებელი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lang w:val="en-US"/>
        </w:rPr>
        <w:t xml:space="preserve">(2.03.2021 N245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შექცევად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დეგრადაციას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რეციკლირების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გადაუმუშავებად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დეგრადირებად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ნაერთებს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დეგრადირებული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პირვანდელ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(restitution in integrum)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მიახლოებული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მოვალეობანი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უვნებელ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ჯანსაღ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აიმაღლოს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ეუსრულებლობით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lang w:val="en-US"/>
        </w:rPr>
        <w:t xml:space="preserve">(2.03.2021 N245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ab/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რეკონსტრუქციისა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გაუფრთხილდეს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ნაწილი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განათლება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(25.03.2013. N469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ქსელს</w:t>
      </w:r>
      <w:r>
        <w:rPr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 (13.04.2016. N4955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ეტაპებს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(23.03.2017. N496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რაციონალურად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პრფესიულ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სასწავლებლე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ორგანეოების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 (15.07.2020 N6898)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გამიჯვნის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(07.12.2017. N1698)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გამიჯვნის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(15.07.2020 N6898)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მასშტაბი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(25.03.2013. N469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6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>; (07.12.2017. N1698)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(07.12.2017. N1698)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(18.09.2014. N265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აუზებსა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წყალსატევებში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კონტინენტურ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შელფზე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ჰიდრომეტეოროლოგიური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გეოდინამიკური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ჩაკეტილ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(18.09.2014. N2657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hAnsi="Sylfaen" w:cs="Sylfaen"/>
          <w:sz w:val="24"/>
          <w:szCs w:val="24"/>
          <w:lang w:eastAsia="x-none"/>
        </w:rPr>
        <w:t xml:space="preserve">1.06.2017. N891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(1.06.2017. N891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(CITES)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დანართებში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დერივატების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რეექსპორტისა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ოზონდამშლელი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(13.04.2016. N4955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(13.04.2016. N4955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(13.04.2016. N4955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ოზონდამშლელ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კლიმატის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ადაპტაციისა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კლიმატის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შერბილების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44"/>
          <w:szCs w:val="44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(07.12.2017. N1698)</w:t>
      </w:r>
    </w:p>
    <w:p w:rsidR="00000000" w:rsidRDefault="001719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 </w:t>
      </w: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(24.11.2011 N 5289)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 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(06.09.2013. N1028)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</w:t>
      </w: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ხუთწლიან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eastAsia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 xml:space="preserve">(14.07.2020 N6826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2021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ინდიკატური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(24.11.2011 N 5289)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თანაფარდობას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მექანიზმები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1.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ბუნებათსარგებლობისა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 xml:space="preserve">(2.03.2021 N245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პროფილაქტიკისათვის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(2.03.2021 N245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სტიმულირება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სტიმულირების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უნარჩენო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მცირენარჩენიან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რეკლამით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სტიმულირების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(11.03.2011. N4398)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ბუნებათსარგებლობის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ეფექტურობის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ციკლს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პრივატიზაციის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პრივატიზებამდე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პრივატიზებამდე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 xml:space="preserve">(2.03.2021 N245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პრივატიზებულ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ენდაღდგენითი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(14.12.2007. N5604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(14.12.2007. N5604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(14.12.2007. N5604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(14.12.2007. N5604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(14.12.2007. N5604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ინფორმაციული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კადასტრების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ინვენტარიზაციას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პასპორტიზაციას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კარტოგრაფირებას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ანგარიშგებასა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(5.07.2018 N3060)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ოგნოზირების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(25.03.2013. N469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(13.04.2016. N4955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წონასწორობას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მიკროორგანიზმებით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პროდუქციისადმ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ატმოსფერულ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ჰაერში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ნიადაგში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ონცენტრაციისა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ვიბრაციის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ელექტრომაგნიტური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(5.07.2018 N3060)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მიკროორგანიზმებით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მიკროორგანიზმებით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თავისებურებებისა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კონცენტრაციამ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გადააჭარბოს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მიკროორგანიზმებით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ხუთ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რორგანიზმებით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(25.03.2013. N469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-40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სასუქების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სტიმულატორების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ნიადაგს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განოყიერების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(5.07.2018 N3060)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ათვისებისას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კვოტებს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კვოტები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ონეებზე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“. (14.12.2007. N5604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(14.12.2007. N5604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IX.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ნარჩენებისადმი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171978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პრევენცია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შეგროვება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გარემოსდაცვითი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ჰიგიენური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ეპიდემიოლოგიური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(26.12.2014. N3000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71978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დამარხვა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გარემოსდაცვითი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ჰიგიენური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ეპიდემიოლოგიური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. (26.12.2014. N3000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ჰიგიენური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(26.12.2014. N3000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(13.04.2016. N4955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საქმიანობაზ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მიღებისას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sz w:val="24"/>
          <w:szCs w:val="24"/>
          <w:lang w:eastAsia="x-none"/>
        </w:rPr>
        <w:t xml:space="preserve">1.06.2017. N891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ფასეულობათა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i/>
          <w:iCs/>
          <w:lang w:eastAsia="x-none"/>
        </w:rPr>
        <w:t xml:space="preserve"> (14.12.2007. N5604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(1.06.2017. N891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38.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(14.12.2007. N5604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ფილაქტიკის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მზადყოფნაში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ლუატაციაში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უტილიზაციის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გაუვნებელყოფის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გამწმენდი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ლიკვიდლაციისას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X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sz w:val="24"/>
          <w:szCs w:val="24"/>
          <w:lang w:eastAsia="x-none"/>
        </w:rPr>
        <w:t xml:space="preserve">1.06.2017. N891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sz w:val="24"/>
          <w:szCs w:val="24"/>
          <w:lang w:eastAsia="x-none"/>
        </w:rPr>
        <w:t xml:space="preserve">1.06.2017. N891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კონტექსტში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გაუარესდა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დაირღვა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წონასწორობა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დეგრადაციის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გამოფიტვისა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დაშლისაგან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წყაროსთავები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წყალსატევების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მდინარეების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მყინვარები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მღვიმეები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სუბალპური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ძვირფასი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მასივები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მიწათსარგებლობის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თვითაღწარმოების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საბინადრო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გამრავლების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არეალებს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სამიგრაციო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</w:p>
    <w:p w:rsidR="00000000" w:rsidRDefault="0017197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წითელ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(8.11.2011 N 5201)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(06.06.2003. N2383)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თვითმყოფადი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გლობალური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რეგიონალური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ურჩევლად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გადასაჭრელად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კლიმატ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კლიმატის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ატმოსფეროში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სათბურის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კლიმატის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ზეგავლენას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შლიან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დედამიწის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იწვევედეს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შეუქცევად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დეგრადაციას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ხმელეთზე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კონტინენტურ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შელფზე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ტვირთზიდ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ატმოსფეროდან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ჩამარხვით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დენონსაცია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შეერთებას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ელშეკრულებები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XV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თანამშრომელთა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(15.10.2019 N5094)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56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(15.10.2019 N5094)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აუნაზღაურდება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7 000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2 000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დაუქირაოს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მეუღლესთან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კილომეტრითაა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დაშორებული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XVI </w:t>
      </w:r>
      <w:r>
        <w:rPr>
          <w:rFonts w:ascii="Sylfaen" w:hAnsi="Sylfaen" w:cs="Sylfaen"/>
          <w:i/>
          <w:iCs/>
          <w:lang w:eastAsia="x-none"/>
        </w:rPr>
        <w:t xml:space="preserve">(5.05.2011  N 4553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(07.12.2017. N1698)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</w:t>
      </w:r>
      <w:r>
        <w:rPr>
          <w:rFonts w:ascii="Sylfaen" w:hAnsi="Sylfaen" w:cs="Sylfaen"/>
          <w:i/>
          <w:iCs/>
          <w:lang w:val="ka-GE" w:eastAsia="ka-GE"/>
        </w:rPr>
        <w:t xml:space="preserve">22.05.2020 N5968 </w:t>
      </w:r>
      <w:r>
        <w:rPr>
          <w:rFonts w:ascii="Sylfaen" w:eastAsia="Times New Roman" w:hAnsi="Sylfaen" w:cs="Sylfaen"/>
          <w:i/>
          <w:iCs/>
          <w:lang w:val="en-US"/>
        </w:rPr>
        <w:t>ა</w:t>
      </w:r>
      <w:r>
        <w:rPr>
          <w:rFonts w:ascii="Sylfaen" w:eastAsia="Times New Roman" w:hAnsi="Sylfaen" w:cs="Sylfaen"/>
          <w:i/>
          <w:iCs/>
          <w:lang w:val="en-US"/>
        </w:rPr>
        <w:t>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hAnsi="Sylfaen" w:cs="Sylfaen"/>
          <w:i/>
          <w:iCs/>
          <w:lang w:val="ka-GE" w:eastAsia="ka-GE"/>
        </w:rPr>
        <w:t>)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</w:t>
      </w: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არაგეგმურ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ჩერებას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171978">
      <w:pPr>
        <w:tabs>
          <w:tab w:val="left" w:pos="22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დაუბრკოლებლად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ვიზუალურად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დაათვალიეროს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გასინჯვა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დაუმორჩილებლობის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შესამოწმებლად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მეყსეული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შეექმნას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დალუქოს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აგრეგატი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მიაყენებს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აღმჭურველი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დალუქოს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აგრეგატი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მიწერილობის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მიწერილობა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(2.03.2021 N245</w:t>
      </w:r>
      <w:r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9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ლაბორატორიული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გაზომვებისა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ელმძღვანელოს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position w:val="6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  <w:r>
        <w:rPr>
          <w:rFonts w:ascii="Sylfaen" w:hAnsi="Sylfaen" w:cs="Sylfaen"/>
          <w:b/>
          <w:bCs/>
          <w:position w:val="18"/>
          <w:lang w:eastAsia="x-none"/>
        </w:rPr>
        <w:t>1</w:t>
      </w: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გარემოსთვის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დაკისრება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(27.12.2011. N5640)</w:t>
      </w: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position w:val="6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XVI</w:t>
      </w:r>
      <w:r>
        <w:rPr>
          <w:rFonts w:ascii="Sylfaen" w:hAnsi="Sylfaen" w:cs="Sylfaen"/>
          <w:b/>
          <w:bCs/>
          <w:position w:val="12"/>
          <w:lang w:eastAsia="x-none"/>
        </w:rPr>
        <w:t xml:space="preserve">1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(27.12.2011. N5640)</w:t>
      </w: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hAnsi="Sylfaen" w:cs="Sylfaen"/>
          <w:position w:val="6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ზიანისთვის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hAnsi="Sylfaen" w:cs="Sylfaen"/>
          <w:position w:val="6"/>
          <w:lang w:eastAsia="x-none"/>
        </w:rPr>
      </w:pPr>
    </w:p>
    <w:p w:rsidR="00000000" w:rsidRDefault="00171978">
      <w:pPr>
        <w:pStyle w:val="Normal0"/>
        <w:tabs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71978">
      <w:pPr>
        <w:pStyle w:val="Normal0"/>
        <w:tabs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(27.12.2011. N5640)</w:t>
      </w:r>
    </w:p>
    <w:p w:rsidR="00000000" w:rsidRDefault="00171978">
      <w:pPr>
        <w:pStyle w:val="Normal0"/>
        <w:tabs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71978">
      <w:pPr>
        <w:pStyle w:val="Normal0"/>
        <w:tabs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არემოსთვის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 xml:space="preserve">(2.03.2021 N245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171978">
      <w:pPr>
        <w:pStyle w:val="Normal0"/>
        <w:tabs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171978">
      <w:pPr>
        <w:pStyle w:val="Normal0"/>
        <w:tabs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</w:t>
      </w:r>
      <w:r>
        <w:rPr>
          <w:rFonts w:ascii="Sylfaen" w:hAnsi="Sylfaen" w:cs="Sylfaen"/>
          <w:position w:val="18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გარემოსთვის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  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(27.12.2011. N5640)</w:t>
      </w: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გარემოსთვის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71978">
      <w:pPr>
        <w:tabs>
          <w:tab w:val="left" w:pos="480"/>
          <w:tab w:val="left" w:pos="709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როცა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480"/>
          <w:tab w:val="left" w:pos="709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8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(25.03.2013. N469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XVI</w:t>
      </w:r>
      <w:r>
        <w:rPr>
          <w:rFonts w:ascii="Sylfaen" w:hAnsi="Sylfaen" w:cs="Sylfaen"/>
          <w:b/>
          <w:bCs/>
          <w:position w:val="18"/>
          <w:lang w:eastAsia="x-none"/>
        </w:rPr>
        <w:t>2</w:t>
      </w:r>
      <w:r>
        <w:rPr>
          <w:rFonts w:ascii="Sylfaen" w:hAnsi="Sylfaen" w:cs="Sylfaen"/>
          <w:b/>
          <w:bCs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(25.03.2013. N469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hAnsi="Sylfaen" w:cs="Sylfaen"/>
          <w:lang w:eastAsia="x-none"/>
        </w:rPr>
      </w:pP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</w:t>
      </w:r>
      <w:r>
        <w:rPr>
          <w:rFonts w:ascii="Sylfaen" w:hAnsi="Sylfaen" w:cs="Sylfaen"/>
          <w:position w:val="18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(25.03.2013. N469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</w:p>
    <w:p w:rsidR="00000000" w:rsidRDefault="00171978">
      <w:pPr>
        <w:pStyle w:val="Normal0"/>
        <w:tabs>
          <w:tab w:val="left" w:pos="283"/>
          <w:tab w:val="left" w:pos="566"/>
          <w:tab w:val="left" w:pos="851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567"/>
        <w:jc w:val="center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</w:t>
      </w:r>
      <w:r>
        <w:rPr>
          <w:rFonts w:ascii="Sylfaen" w:hAnsi="Sylfaen" w:cs="Sylfaen"/>
          <w:position w:val="18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(25.03.2013. N469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 xml:space="preserve">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8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(25.03.2013. N469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>)</w:t>
      </w:r>
    </w:p>
    <w:p w:rsidR="00000000" w:rsidRDefault="00171978">
      <w:pPr>
        <w:tabs>
          <w:tab w:val="left" w:pos="48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6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8"/>
          <w:sz w:val="24"/>
          <w:szCs w:val="24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(25.03.2013. N469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-40 </w:t>
      </w:r>
      <w:r>
        <w:rPr>
          <w:rFonts w:ascii="Sylfaen" w:eastAsia="Times New Roman" w:hAnsi="Sylfaen" w:cs="Sylfaen"/>
          <w:b/>
          <w:bCs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8"/>
          <w:sz w:val="24"/>
          <w:szCs w:val="24"/>
          <w:lang w:eastAsia="x-non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(25.03.2013. N469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-40 </w:t>
      </w:r>
      <w:r>
        <w:rPr>
          <w:rFonts w:ascii="Sylfaen" w:eastAsia="Times New Roman" w:hAnsi="Sylfaen" w:cs="Sylfaen"/>
          <w:b/>
          <w:bCs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8"/>
          <w:sz w:val="24"/>
          <w:szCs w:val="24"/>
          <w:lang w:eastAsia="x-none"/>
        </w:rPr>
        <w:t>9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(25.03.2013. N469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-40 </w:t>
      </w:r>
      <w:r>
        <w:rPr>
          <w:rFonts w:ascii="Sylfaen" w:eastAsia="Times New Roman" w:hAnsi="Sylfaen" w:cs="Sylfaen"/>
          <w:b/>
          <w:bCs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 xml:space="preserve">2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XVI</w:t>
      </w:r>
      <w:r>
        <w:rPr>
          <w:rFonts w:ascii="Sylfaen" w:hAnsi="Sylfaen" w:cs="Sylfaen"/>
          <w:b/>
          <w:bCs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b/>
          <w:bCs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(25.03.2013. N469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-40 </w:t>
      </w:r>
      <w:r>
        <w:rPr>
          <w:rFonts w:ascii="Sylfaen" w:eastAsia="Times New Roman" w:hAnsi="Sylfaen" w:cs="Sylfaen"/>
          <w:b/>
          <w:bCs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10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(25.03.2013. N469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-40 </w:t>
      </w:r>
      <w:r>
        <w:rPr>
          <w:rFonts w:ascii="Sylfaen" w:eastAsia="Times New Roman" w:hAnsi="Sylfaen" w:cs="Sylfaen"/>
          <w:b/>
          <w:bCs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11</w:t>
      </w:r>
      <w:r>
        <w:rPr>
          <w:rFonts w:ascii="Sylfaen" w:hAnsi="Sylfaen" w:cs="Sylfaen"/>
          <w:sz w:val="24"/>
          <w:szCs w:val="24"/>
          <w:lang w:eastAsia="x-none"/>
        </w:rPr>
        <w:t>. 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(25.03.2013. N469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-40 </w:t>
      </w:r>
      <w:r>
        <w:rPr>
          <w:rFonts w:ascii="Sylfaen" w:eastAsia="Times New Roman" w:hAnsi="Sylfaen" w:cs="Sylfaen"/>
          <w:b/>
          <w:bCs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12</w:t>
      </w:r>
      <w:r>
        <w:rPr>
          <w:rFonts w:ascii="Sylfaen" w:hAnsi="Sylfaen" w:cs="Sylfaen"/>
          <w:sz w:val="24"/>
          <w:szCs w:val="24"/>
          <w:lang w:eastAsia="x-none"/>
        </w:rPr>
        <w:t>. 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(25.03.2013. N469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-40 </w:t>
      </w:r>
      <w:r>
        <w:rPr>
          <w:rFonts w:ascii="Sylfaen" w:eastAsia="Times New Roman" w:hAnsi="Sylfaen" w:cs="Sylfaen"/>
          <w:b/>
          <w:bCs/>
          <w:lang w:eastAsia="x-none"/>
        </w:rPr>
        <w:t>დღეს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(25.03.2013. N469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გამოქვ</w:t>
      </w:r>
      <w:r>
        <w:rPr>
          <w:rFonts w:ascii="Sylfaen" w:eastAsia="Times New Roman" w:hAnsi="Sylfaen" w:cs="Sylfaen"/>
          <w:i/>
          <w:iCs/>
          <w:lang w:eastAsia="x-none"/>
        </w:rPr>
        <w:t>ეყნებიდან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XVII.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კარგავენ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ab/>
        <w:t>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1958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"(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1958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., N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1)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(1.06.2017. N891)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უნიფორმის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“;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1719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17197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(07.12.2017. N1698)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ევროკავშირსა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ატომური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ასოცირების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2014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ასიგნებები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გაიზარდოს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59. "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  <w:t>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1996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N 519-I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171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Parli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71978"/>
    <w:rsid w:val="001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firstLine="720"/>
      <w:outlineLvl w:val="0"/>
    </w:pPr>
    <w:rPr>
      <w:rFonts w:ascii="Geo ABC" w:hAnsi="Geo ABC" w:cs="Geo ABC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  <w:rPr>
      <w:rFonts w:ascii="SPParliament" w:hAnsi="SPParliament" w:cs="SPParliament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SPParliament" w:hAnsi="SPParliament" w:cs="SPParliamen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customStyle="1" w:styleId="CharChar">
    <w:name w:val="Cha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9858</Words>
  <Characters>56196</Characters>
  <Application>Microsoft Office Word</Application>
  <DocSecurity>0</DocSecurity>
  <Lines>468</Lines>
  <Paragraphs>131</Paragraphs>
  <ScaleCrop>false</ScaleCrop>
  <Company/>
  <LinksUpToDate>false</LinksUpToDate>
  <CharactersWithSpaces>65923</CharactersWithSpaces>
  <SharedDoc>false</SharedDoc>
  <HyperlinkBase>C:\5\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