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4F06">
      <w:pPr>
        <w:pStyle w:val="Normal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F4F06">
      <w:pPr>
        <w:pStyle w:val="Normal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F4F06">
      <w:pPr>
        <w:pStyle w:val="Normal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sz w:val="32"/>
          <w:szCs w:val="32"/>
        </w:rPr>
        <w:t>სიტყვისა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გამოხატვის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CF4F06">
      <w:pPr>
        <w:pStyle w:val="Normal0"/>
        <w:jc w:val="center"/>
        <w:rPr>
          <w:rFonts w:ascii="Sylfaen" w:hAnsi="Sylfaen" w:cs="Sylfaen"/>
        </w:rPr>
      </w:pPr>
    </w:p>
    <w:p w:rsidR="00000000" w:rsidRDefault="00CF4F06">
      <w:pPr>
        <w:pStyle w:val="Normal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I. </w:t>
      </w: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CF4F06">
      <w:pPr>
        <w:pStyle w:val="Normal0"/>
        <w:jc w:val="center"/>
        <w:rPr>
          <w:rFonts w:ascii="Sylfaen" w:hAnsi="Sylfaen" w:cs="Sylfaen"/>
        </w:rPr>
      </w:pPr>
    </w:p>
    <w:p w:rsidR="00000000" w:rsidRDefault="00CF4F06">
      <w:pPr>
        <w:pStyle w:val="Normal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გაავრცელა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გააცნო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აზრი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შეფასებითი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მსჯელობა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თვალსაზრისი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კომენტარი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პიროვნების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მოვლენის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დამოკიდებულებას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</w:t>
      </w:r>
      <w:r>
        <w:rPr>
          <w:rFonts w:ascii="Sylfaen" w:hAnsi="Sylfaen" w:cs="Sylfaen"/>
        </w:rPr>
        <w:t>ყოფად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თემა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მოწოდება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გამოწვევას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ცილისწამება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არსებ</w:t>
      </w:r>
      <w:r>
        <w:rPr>
          <w:rFonts w:ascii="Sylfaen" w:hAnsi="Sylfaen" w:cs="Sylfaen"/>
        </w:rPr>
        <w:t>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მცდარი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მიმყენებელი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გამტეხი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უხამსობა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კულტურული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უხეშად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</w:t>
      </w:r>
      <w:r>
        <w:rPr>
          <w:rFonts w:ascii="Sylfaen" w:hAnsi="Sylfaen" w:cs="Sylfaen"/>
        </w:rPr>
        <w:t>კვიდრებულ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ყურადღება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ცნობისმოყვარეობა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მოვლენისადმი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განხორციელებასთან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ადმინისტრაცი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მაუწყებლობისა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აზრი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ცხოვრებაზე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რომლისკენაც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</w:t>
      </w:r>
      <w:r>
        <w:rPr>
          <w:rFonts w:ascii="Sylfaen" w:hAnsi="Sylfaen" w:cs="Sylfaen"/>
        </w:rPr>
        <w:t>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ყურადღება</w:t>
      </w:r>
      <w:r>
        <w:rPr>
          <w:rFonts w:ascii="Sylfaen" w:hAnsi="Sylfaen" w:cs="Sylfaen"/>
        </w:rPr>
        <w:t xml:space="preserve">; (27.10.2015. N4379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ივლისიდან</w:t>
      </w:r>
      <w:r>
        <w:rPr>
          <w:rFonts w:ascii="Sylfaen" w:hAnsi="Sylfaen" w:cs="Sylfaen"/>
        </w:rPr>
        <w:t>.) (21.12.2016. N154)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>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27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>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(25.05.2012. N6328)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აღსარების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ჟურნალ</w:t>
      </w:r>
      <w:r>
        <w:rPr>
          <w:rFonts w:ascii="Sylfaen" w:hAnsi="Sylfaen" w:cs="Sylfaen"/>
        </w:rPr>
        <w:t>ისტის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უფლებადამცველის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დამცველის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განდობილი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</w:t>
      </w:r>
      <w:r>
        <w:rPr>
          <w:rFonts w:ascii="Sylfaen" w:hAnsi="Sylfaen" w:cs="Sylfaen"/>
        </w:rPr>
        <w:t>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გამჟღავნებამ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რეპუტაციას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</w:t>
      </w:r>
      <w:r>
        <w:rPr>
          <w:rFonts w:ascii="Sylfaen" w:hAnsi="Sylfaen" w:cs="Sylfaen"/>
        </w:rPr>
        <w:t>; (10.07.2015. N4000)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განჭვრეტადი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ჯეროვანი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სიზუსტით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ფორმულირებული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ორაზროვან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ბუნდოვან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დაარეგულიროს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ცხადა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ვიწროდ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ნორმა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ამომწურავ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არამიზნობრივად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სიკეთეები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არადისკრიმინაციულობა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მოპყრობის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</w:t>
      </w:r>
      <w:r>
        <w:rPr>
          <w:rFonts w:ascii="Sylfaen" w:hAnsi="Sylfaen" w:cs="Sylfaen"/>
        </w:rPr>
        <w:t>ულება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კრიტიკულად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ემსახურება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შეუცვლელი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სასიცოცხლო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</w:t>
      </w:r>
      <w:r>
        <w:rPr>
          <w:rFonts w:ascii="Sylfaen" w:hAnsi="Sylfaen" w:cs="Sylfaen"/>
        </w:rPr>
        <w:t>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ამოიწურება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</w:t>
      </w:r>
      <w:r>
        <w:rPr>
          <w:rFonts w:ascii="Sylfaen" w:hAnsi="Sylfaen" w:cs="Sylfaen"/>
        </w:rPr>
        <w:t>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შემზღუდავი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უფრო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მკაცრი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აბსოლუტური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</w:t>
      </w:r>
      <w:r>
        <w:rPr>
          <w:rFonts w:ascii="Sylfaen" w:hAnsi="Sylfaen" w:cs="Sylfaen"/>
        </w:rPr>
        <w:t>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ქ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მისაღწევად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ღ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მედია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ბეჭდვითი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ინტერნეტი</w:t>
      </w:r>
      <w:r>
        <w:rPr>
          <w:rFonts w:ascii="Sylfaen" w:hAnsi="Sylfaen" w:cs="Sylfaen"/>
        </w:rPr>
        <w:t xml:space="preserve">.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ინტერპრეტირება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ინტერპრეტირება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</w:t>
      </w:r>
      <w:r>
        <w:rPr>
          <w:rFonts w:ascii="Sylfaen" w:hAnsi="Sylfaen" w:cs="Sylfaen"/>
        </w:rPr>
        <w:t>იტუციის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ნაკისრი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პრეცედენტული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ხალხი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</w:t>
      </w:r>
      <w:r>
        <w:rPr>
          <w:rFonts w:ascii="Sylfaen" w:hAnsi="Sylfaen" w:cs="Sylfaen"/>
        </w:rPr>
        <w:t>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სამართლით</w:t>
      </w:r>
      <w:r>
        <w:rPr>
          <w:rFonts w:ascii="Sylfaen" w:hAnsi="Sylfaen" w:cs="Sylfaen"/>
        </w:rPr>
        <w:t xml:space="preserve">.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ყველას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>: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აბსოლუტურ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მიღე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შექმ</w:t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დამუშავებისა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ცენზურის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მედიის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სარედაქციო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ლობასა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პლურალიზმს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ჟურნალისტის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სინდისის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სარედაქციო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</w:t>
      </w:r>
      <w:r>
        <w:rPr>
          <w:rFonts w:ascii="Sylfaen" w:hAnsi="Sylfaen" w:cs="Sylfaen"/>
        </w:rPr>
        <w:t>ები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სწავლებისა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ხელოვნების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შემოქმედებისა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გამოგონების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 xml:space="preserve">;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მეტყველების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დამწერლობის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ქველმოქმედების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მხილების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მამ</w:t>
      </w:r>
      <w:r>
        <w:rPr>
          <w:rFonts w:ascii="Sylfaen" w:hAnsi="Sylfaen" w:cs="Sylfaen"/>
        </w:rPr>
        <w:t>ხილებელთა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გამოთქვას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აღმსარებლობის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სინდისისა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მსოფლმხედველობის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ეთნიკური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კულტურული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ოჯახური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>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შელახვის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თავისუფლებებ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მოხსენიებული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თავისთავად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პრინციპებიდან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აზრისა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აზრი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აბსოლუტური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პრივილეგიით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მოწოდება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მოწოდება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საფრთხეს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</w:t>
      </w:r>
      <w:r>
        <w:rPr>
          <w:rFonts w:ascii="Sylfaen" w:hAnsi="Sylfaen" w:cs="Sylfaen"/>
        </w:rPr>
        <w:t>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1. </w:t>
      </w:r>
      <w:r>
        <w:rPr>
          <w:rFonts w:ascii="Sylfaen" w:hAnsi="Sylfaen" w:cs="Sylfaen"/>
        </w:rPr>
        <w:t>ცილისწამებისათვის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გაკეთებულია</w:t>
      </w:r>
      <w:r>
        <w:rPr>
          <w:rFonts w:ascii="Sylfaen" w:hAnsi="Sylfaen" w:cs="Sylfaen"/>
        </w:rPr>
        <w:t>:</w:t>
      </w:r>
    </w:p>
    <w:p w:rsidR="00000000" w:rsidRDefault="00CF4F06">
      <w:pPr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საკრებულოს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</w:t>
      </w:r>
      <w:r>
        <w:rPr>
          <w:rFonts w:ascii="Sylfaen" w:hAnsi="Sylfaen" w:cs="Sylfaen"/>
        </w:rPr>
        <w:t>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>; (10.07.2015. N4000)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წინასასამართლო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სახალხო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საკრებულოს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; (10.07.2015. N4000)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2.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209-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განჩინება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სას</w:t>
      </w:r>
      <w:r>
        <w:rPr>
          <w:rFonts w:ascii="Sylfaen" w:hAnsi="Sylfaen" w:cs="Sylfaen"/>
        </w:rPr>
        <w:t>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1.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2.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ედიაში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ჟურნალისტის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ცილისწამებასთან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მესაკუთრე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3.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განუსაზღვრელ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რომელში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ერთმნიშვნელოვნად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იდენტიფიცირებული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>. (02.10.2014 N2681)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</w:t>
      </w:r>
      <w:r>
        <w:rPr>
          <w:rFonts w:ascii="Sylfaen" w:hAnsi="Sylfaen" w:cs="Sylfaen"/>
        </w:rPr>
        <w:t>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დასაცავად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განმსაზღვრელია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სახელის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პატივის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ღირსების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რეპუტაციის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შელახვისათვის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>. (02.10.2014 N2681)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</w:t>
      </w:r>
      <w:r>
        <w:rPr>
          <w:rFonts w:ascii="Sylfaen" w:hAnsi="Sylfaen" w:cs="Sylfaen"/>
        </w:rPr>
        <w:t>არიგებლად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 1 </w:t>
      </w:r>
      <w:r>
        <w:rPr>
          <w:rFonts w:ascii="Sylfaen" w:hAnsi="Sylfaen" w:cs="Sylfaen"/>
        </w:rPr>
        <w:t>თვეს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მტკიცებულების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ემყარებოდეს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უტყუარ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ტკიცებულებებს</w:t>
      </w:r>
      <w:r>
        <w:rPr>
          <w:rFonts w:ascii="Sylfaen" w:hAnsi="Sylfaen" w:cs="Sylfaen"/>
        </w:rPr>
        <w:t xml:space="preserve">.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საწინააღმდეგოდ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ყურადღების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ცნობისმოყვარეობის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</w:t>
      </w:r>
      <w:r>
        <w:rPr>
          <w:rFonts w:ascii="Sylfaen" w:hAnsi="Sylfaen" w:cs="Sylfaen"/>
        </w:rPr>
        <w:t>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ყურადღების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</w:t>
      </w:r>
      <w:r>
        <w:rPr>
          <w:rFonts w:ascii="Sylfaen" w:hAnsi="Sylfaen" w:cs="Sylfaen"/>
        </w:rPr>
        <w:t>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აზრის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სიტყვის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ინიციატორს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საწინააღმდეგოდ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გაამხილოს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რთადერთი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</w:p>
    <w:p w:rsidR="00000000" w:rsidRDefault="00CF4F06">
      <w:pPr>
        <w:pStyle w:val="Normal0"/>
        <w:ind w:firstLine="691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II. </w:t>
      </w:r>
      <w:r>
        <w:rPr>
          <w:rFonts w:ascii="Sylfaen" w:hAnsi="Sylfaen" w:cs="Sylfaen"/>
          <w:b/>
          <w:bCs/>
        </w:rPr>
        <w:t>შეზღუდვის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საფუძველი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</w:t>
      </w:r>
      <w:r>
        <w:rPr>
          <w:rFonts w:ascii="Sylfaen" w:hAnsi="Sylfaen" w:cs="Sylfaen"/>
        </w:rPr>
        <w:t>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განჭვრეტადი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ვიწროდ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სიკეთე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შემზღუდველი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>: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ლეგიტიმური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ისაკენ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კრიტიკულად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სებობისათვის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არადისკრიმინაციული</w:t>
      </w:r>
      <w:r>
        <w:rPr>
          <w:rFonts w:ascii="Sylfaen" w:hAnsi="Sylfaen" w:cs="Sylfaen"/>
        </w:rPr>
        <w:t xml:space="preserve">;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შემზღუდველი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შინაარსობრივი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>: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ცილისწამებას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უხამსობას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პირისპირ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შეურაცხყოფას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ჩადენისკენ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წაქეზებას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მუქარას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პერსონალურ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საიდუმლოებას</w:t>
      </w:r>
      <w:r>
        <w:rPr>
          <w:rFonts w:ascii="Sylfaen" w:hAnsi="Sylfaen" w:cs="Sylfaen"/>
        </w:rPr>
        <w:t>; (25.05.2012. N6328)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რეკლამას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ტელეშოპინგს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სპონსორობას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</w:t>
      </w:r>
      <w:r>
        <w:rPr>
          <w:rFonts w:ascii="Sylfaen" w:hAnsi="Sylfaen" w:cs="Sylfaen"/>
        </w:rPr>
        <w:t>ამსახურის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თავისუფლებააღკვეთილი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</w:t>
      </w:r>
      <w:r>
        <w:rPr>
          <w:rFonts w:ascii="Sylfaen" w:hAnsi="Sylfaen" w:cs="Sylfaen"/>
          <w:b/>
          <w:bCs/>
        </w:rPr>
        <w:t xml:space="preserve">)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(20.03.2015. N3375 </w:t>
      </w:r>
      <w:r>
        <w:rPr>
          <w:rFonts w:ascii="Sylfaen" w:hAnsi="Sylfaen" w:cs="Sylfaen"/>
          <w:b/>
          <w:bCs/>
        </w:rPr>
        <w:t>ამ</w:t>
      </w:r>
      <w:r>
        <w:rPr>
          <w:rFonts w:ascii="Sylfaen" w:hAnsi="Sylfaen" w:cs="Sylfaen"/>
          <w:b/>
          <w:bCs/>
        </w:rPr>
        <w:t>ოქმედდეს</w:t>
      </w:r>
      <w:r>
        <w:rPr>
          <w:rFonts w:ascii="Sylfaen" w:hAnsi="Sylfaen" w:cs="Sylfaen"/>
          <w:b/>
          <w:bCs/>
        </w:rPr>
        <w:t xml:space="preserve"> 2015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აპრილიდან</w:t>
      </w:r>
      <w:r>
        <w:rPr>
          <w:rFonts w:ascii="Sylfaen" w:hAnsi="Sylfaen" w:cs="Sylfaen"/>
          <w:b/>
          <w:bCs/>
        </w:rPr>
        <w:t>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შინაარსობრივი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თვალსაზრისობრივად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არადისკრიმინაციული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შინაარსობრივად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შინაარსობრივად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</w:t>
      </w:r>
      <w:r>
        <w:rPr>
          <w:rFonts w:ascii="Sylfaen" w:hAnsi="Sylfaen" w:cs="Sylfaen"/>
        </w:rPr>
        <w:t>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შინაარსობრივად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ნეიტრალური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არადისკრიმინაციულ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გამომხატვე</w:t>
      </w:r>
      <w:r>
        <w:rPr>
          <w:rFonts w:ascii="Sylfaen" w:hAnsi="Sylfaen" w:cs="Sylfaen"/>
        </w:rPr>
        <w:t>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III.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აბსოლუტური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წყაროს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სიტყვის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წყაროს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განჩინება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ამხელის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დამტკიცდა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გამხელით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გამხელისათვის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ევალება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გებით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სიკეთეებს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ისახავდა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სიკეთე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3.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ხელშეუხებლობისა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color w:val="525149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  <w:color w:val="525149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შეიზღუდოს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მოვლენასთან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>ოდნაც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>. (25.05.2012. N6328)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არაქონებრივი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ორალური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IV. </w:t>
      </w:r>
      <w:r>
        <w:rPr>
          <w:rFonts w:ascii="Sylfaen" w:hAnsi="Sylfaen" w:cs="Sylfaen"/>
          <w:b/>
          <w:bCs/>
        </w:rPr>
        <w:t>ცილისწამება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მცდ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მიადგა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მცდარ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მიადგა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მცდარობა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გამოიჩინა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დაუდევრობა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მცდარ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ცილისწამებისათვის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პრივილეგია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მცდარი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: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სისწორის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გადასამოწმებლად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გაატარა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დაზიანებული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რეპუტაციის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აღსადგენად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ისახავდა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სიკეთე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გააკე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გაკეთებულ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განცხადებაზე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თანაზომიერ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>;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ზუსტ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რეპორტაჟს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მოვლენასთან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რომლისკენაც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</w:t>
      </w:r>
      <w:r>
        <w:rPr>
          <w:rFonts w:ascii="Sylfaen" w:hAnsi="Sylfaen" w:cs="Sylfaen"/>
        </w:rPr>
        <w:t>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ყურადღება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ცილისწამებისათვის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სცოდნოდა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ავრცელებდა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ცილისწამებით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აზღაურება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ცილისწამებასთან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მოიხადოს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ბოდიში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ნახორციელებს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შესწორებას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ჯეროვანი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მოპასუხეს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მოსარჩელისათვის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არაქონებ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რივი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მორალური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უსაფუძვლო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სიტყვისა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უსაფუძვლო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მოსარჩ</w:t>
      </w:r>
      <w:r>
        <w:rPr>
          <w:rFonts w:ascii="Sylfaen" w:hAnsi="Sylfaen" w:cs="Sylfaen"/>
        </w:rPr>
        <w:t>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სასარჩელო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ცილისწამების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100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გაეცნო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შეეძლო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გასცნობოდა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 xml:space="preserve">V. </w:t>
      </w: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ძალადაკარგული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პრესისა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</w:t>
      </w:r>
      <w:r>
        <w:rPr>
          <w:rFonts w:ascii="Sylfaen" w:hAnsi="Sylfaen" w:cs="Sylfaen"/>
        </w:rPr>
        <w:t>ნავე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</w:t>
      </w:r>
      <w:r>
        <w:rPr>
          <w:rFonts w:ascii="Sylfaen" w:hAnsi="Sylfaen" w:cs="Sylfaen"/>
          <w:b/>
          <w:bCs/>
        </w:rPr>
        <w:t xml:space="preserve">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220 - </w:t>
      </w:r>
      <w:r>
        <w:rPr>
          <w:rFonts w:ascii="Sylfaen" w:hAnsi="Sylfaen" w:cs="Sylfaen"/>
        </w:rPr>
        <w:t>რს</w:t>
      </w:r>
    </w:p>
    <w:p w:rsidR="00000000" w:rsidRDefault="00CF4F06">
      <w:pPr>
        <w:pStyle w:val="Normal0"/>
        <w:ind w:firstLine="691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4F06"/>
    <w:rsid w:val="00C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