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მოსაკრებლების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სისტემის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საფუძვლების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ჩამოაყალიბოს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გადაიხდევინება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</w:t>
      </w:r>
      <w:r>
        <w:rPr>
          <w:rFonts w:ascii="Sylfaen" w:eastAsia="Times New Roman" w:hAnsi="Sylfaen" w:cs="Sylfaen"/>
          <w:lang w:val="en-US"/>
        </w:rPr>
        <w:t>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ამხანაგობები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</w:t>
      </w:r>
      <w:r>
        <w:rPr>
          <w:rFonts w:ascii="Sylfaen" w:eastAsia="Times New Roman" w:hAnsi="Sylfaen" w:cs="Sylfaen"/>
          <w:lang w:val="en-US"/>
        </w:rPr>
        <w:t>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შეცვლისა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გადახდევინების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გადახდევინება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ოდენობასა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ამხანაგობები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სახელმ</w:t>
      </w:r>
      <w:r>
        <w:rPr>
          <w:rFonts w:ascii="Sylfaen" w:eastAsia="Times New Roman" w:hAnsi="Sylfaen" w:cs="Sylfaen"/>
          <w:lang w:val="en-US"/>
        </w:rPr>
        <w:t>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(23.12.2011 N 5601)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ვინმესთვის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</w:t>
      </w:r>
      <w:r>
        <w:rPr>
          <w:rFonts w:ascii="Sylfaen" w:eastAsia="Times New Roman" w:hAnsi="Sylfaen" w:cs="Sylfaen"/>
          <w:lang w:val="en-US"/>
        </w:rPr>
        <w:t>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0811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</w:t>
      </w:r>
      <w:r>
        <w:rPr>
          <w:rFonts w:ascii="Sylfaen" w:hAnsi="Sylfaen" w:cs="Sylfaen"/>
          <w:i/>
          <w:iCs/>
          <w:lang w:val="en-US"/>
        </w:rPr>
        <w:t>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.07.2009 N 1</w:t>
      </w:r>
      <w:r>
        <w:rPr>
          <w:rFonts w:ascii="Sylfaen" w:hAnsi="Sylfaen" w:cs="Sylfaen"/>
          <w:i/>
          <w:iCs/>
          <w:lang w:val="en-US"/>
        </w:rPr>
        <w:t>531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საბუთი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</w:t>
      </w:r>
      <w:r>
        <w:rPr>
          <w:rFonts w:ascii="Sylfaen" w:eastAsia="Times New Roman" w:hAnsi="Sylfaen" w:cs="Sylfaen"/>
          <w:lang w:val="en-US"/>
        </w:rPr>
        <w:t>სტურება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საბუთის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შეცვლისა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კოლიზიის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(8.06.2007 N 4926)</w:t>
      </w:r>
    </w:p>
    <w:p w:rsidR="00000000" w:rsidRDefault="00081192">
      <w:pPr>
        <w:tabs>
          <w:tab w:val="left" w:pos="7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(8.06.2007 N 4926)</w:t>
      </w:r>
    </w:p>
    <w:p w:rsidR="00000000" w:rsidRDefault="00081192">
      <w:pPr>
        <w:tabs>
          <w:tab w:val="left" w:pos="7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(12.11.2010. N3806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.)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მოსაკრებლებისა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აექსპერტიზო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ბაჟი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(1.12.2009 N 2208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(21.07.2010 N 3546))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(15.07.2008 N 220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81192">
      <w:pPr>
        <w:tabs>
          <w:tab w:val="left" w:pos="7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</w:t>
      </w:r>
      <w:r>
        <w:rPr>
          <w:rFonts w:ascii="Sylfaen" w:eastAsia="Times New Roman" w:hAnsi="Sylfaen" w:cs="Sylfaen"/>
          <w:lang w:val="en-US"/>
        </w:rPr>
        <w:t>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(29.06.2007 N5134)</w:t>
      </w:r>
    </w:p>
    <w:p w:rsidR="00000000" w:rsidRDefault="00081192">
      <w:pPr>
        <w:tabs>
          <w:tab w:val="left" w:pos="7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tabs>
          <w:tab w:val="left" w:pos="7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1.06.2017. N897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201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tabs>
          <w:tab w:val="left" w:pos="7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(3.11.2009 N 1937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საინვესტიციო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(11.12.2021 N1194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(8.06.2007 N 4926)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(28.10.2010. N3775)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(1.12.2009 N 2208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(21.07.2010 N 3546))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დასუფთავების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(11.12.2021 N1194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№3219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ზონალური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შეთანხმებისთვის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(8.06.2007 N 4928)</w:t>
      </w:r>
    </w:p>
    <w:p w:rsidR="00000000" w:rsidRDefault="00081192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ექსპლუატაციაში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დაჩქარებული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 N 5297)</w:t>
      </w:r>
    </w:p>
    <w:p w:rsidR="00000000" w:rsidRDefault="00081192">
      <w:pPr>
        <w:widowControl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№3219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ზონალური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შეთანხმებისთვის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საექსპერტიზო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საქპატენტის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საქჯიშცენტრის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ჯიშებზე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სელექციონერთა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02.03.2001 N746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lang w:val="en-US"/>
        </w:rPr>
      </w:pP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ამხანაგობები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ანიჭებენ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0811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</w:t>
      </w:r>
      <w:r>
        <w:rPr>
          <w:rFonts w:ascii="Sylfaen" w:eastAsia="Times New Roman" w:hAnsi="Sylfaen" w:cs="Sylfaen"/>
          <w:lang w:val="en-US"/>
        </w:rPr>
        <w:t>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ინტერესებიდან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ფარდობით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სიდიდეებში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მოსაკრებლებისაგან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(23.12.2011 N 5601)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0811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გარდამავა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ეძლევათ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1996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29 </w:t>
      </w:r>
      <w:r>
        <w:rPr>
          <w:rFonts w:ascii="Sylfaen" w:eastAsia="Times New Roman" w:hAnsi="Sylfaen" w:cs="Sylfaen"/>
          <w:lang w:val="en-US"/>
        </w:rPr>
        <w:t>მაისის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  <w:t xml:space="preserve">                                 </w:t>
      </w:r>
      <w:r>
        <w:rPr>
          <w:rFonts w:ascii="Sylfaen" w:eastAsia="Times New Roma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.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თებერვალი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811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1221-II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8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81192"/>
    <w:rsid w:val="000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