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პოლიტიკური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გაერთიანებების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მსოფლმხედველობრივ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</w:t>
      </w:r>
      <w:r>
        <w:rPr>
          <w:rFonts w:ascii="Sylfaen" w:eastAsia="Times New Roman" w:hAnsi="Sylfaen" w:cs="Sylfaen"/>
          <w:lang w:val="ka-GE" w:eastAsia="ka-GE"/>
        </w:rPr>
        <w:t>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პარტია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დემოკრატიული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არჩევნების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ნებადართული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გამოხატვაში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უდევს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პარტიაში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გაწევრიანებისა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არჩევითობა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ანგარიშვალდებულება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პარტიების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საჯაროობა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პარტია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</w:t>
      </w:r>
      <w:r>
        <w:rPr>
          <w:rFonts w:ascii="Sylfaen" w:eastAsia="Times New Roman" w:hAnsi="Sylfaen" w:cs="Sylfaen"/>
          <w:lang w:val="en-US"/>
        </w:rPr>
        <w:t>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ეწინააღმდეგება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წყობილების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პროპაგანდას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აღვივებს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კუთხურ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რელიგიურ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შუღლს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8.05.2012.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6116)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(29.07.2013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განცხადებული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იკვეთება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გაკეთებული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ჩამოყალიბებისკენ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პარტიის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შექმნა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ორგანიზება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4D052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№4255)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№4103)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№5408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</w:t>
      </w:r>
      <w:r>
        <w:rPr>
          <w:rFonts w:ascii="Sylfaen" w:eastAsia="Times New Roman" w:hAnsi="Sylfaen" w:cs="Sylfaen"/>
          <w:lang w:val="en-US"/>
        </w:rPr>
        <w:t>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საგამოძიებო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N1341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425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4D0524">
      <w:pPr>
        <w:ind w:firstLine="425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</w:t>
      </w:r>
      <w:r>
        <w:rPr>
          <w:rFonts w:ascii="Sylfaen" w:eastAsia="Times New Roman" w:hAnsi="Sylfaen" w:cs="Sylfaen"/>
          <w:lang w:val="ka-GE" w:eastAsia="ka-GE"/>
        </w:rPr>
        <w:t>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4410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300-</w:t>
      </w:r>
      <w:r>
        <w:rPr>
          <w:rFonts w:ascii="Sylfaen" w:eastAsia="Times New Roman" w:hAnsi="Sylfaen" w:cs="Sylfaen"/>
          <w:lang w:val="ka-GE" w:eastAsia="ka-GE"/>
        </w:rPr>
        <w:t>კაციანი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კონფერენციას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კონგრესს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ასამბლეას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დამფუძნებელ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ისამართი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ამოცანები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</w:t>
      </w:r>
      <w:r>
        <w:rPr>
          <w:rFonts w:ascii="Sylfaen" w:eastAsia="Times New Roman" w:hAnsi="Sylfaen" w:cs="Sylfaen"/>
          <w:lang w:val="ka-GE" w:eastAsia="ka-GE"/>
        </w:rPr>
        <w:t>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შემოკლებულ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</w:t>
      </w:r>
      <w:r>
        <w:rPr>
          <w:rFonts w:ascii="Sylfaen" w:eastAsia="Times New Roman" w:hAnsi="Sylfaen" w:cs="Sylfaen"/>
          <w:lang w:val="ka-GE" w:eastAsia="ka-GE"/>
        </w:rPr>
        <w:t>ბოლიკას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შემოკლებული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ამართლებს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პარტიი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კონგრესი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ასამბლეა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კონფერენცია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.), </w:t>
      </w:r>
      <w:r>
        <w:rPr>
          <w:rFonts w:ascii="Sylfaen" w:eastAsia="Times New Roman" w:hAnsi="Sylfaen" w:cs="Sylfaen"/>
          <w:lang w:val="ka-GE" w:eastAsia="ka-GE"/>
        </w:rPr>
        <w:t>გამგეობა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დარბაზი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სამდივნო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.),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ყრილობაში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გამგეობას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გამგეობა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გამგეობა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კვორუმს</w:t>
      </w:r>
      <w:r>
        <w:rPr>
          <w:rFonts w:ascii="Sylfaen" w:eastAsia="Times New Roman" w:hAnsi="Sylfaen" w:cs="Sylfaen"/>
          <w:lang w:val="ka-GE" w:eastAsia="ka-GE"/>
        </w:rPr>
        <w:t xml:space="preserve">. 3.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რევიზია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ახალგაზრდული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ნოტარიულად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</w:t>
      </w:r>
      <w:r>
        <w:rPr>
          <w:rFonts w:ascii="Sylfaen" w:eastAsia="Times New Roman" w:hAnsi="Sylfaen" w:cs="Sylfaen"/>
          <w:lang w:val="ka-GE" w:eastAsia="ka-GE"/>
        </w:rPr>
        <w:t>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</w:t>
      </w:r>
      <w:r>
        <w:rPr>
          <w:rFonts w:ascii="Sylfaen" w:eastAsia="Times New Roman" w:hAnsi="Sylfaen" w:cs="Sylfaen"/>
          <w:lang w:eastAsia="x-none"/>
        </w:rPr>
        <w:t>ნლობაზე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ხელმოწერის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ხელმოწერების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ნოტარიულად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ნიმუშებს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პარტიის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გამგეობა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№6861)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D0524">
      <w:pPr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5037)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5037)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პარტიი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u w:val="single"/>
          <w:lang w:val="ka-GE" w:eastAsia="ka-GE"/>
        </w:rPr>
        <w:t>პარტიის</w:t>
      </w:r>
      <w:r>
        <w:rPr>
          <w:rFonts w:ascii="Sylfaen" w:eastAsia="Times New Roman" w:hAnsi="Sylfaen" w:cs="Sylfaen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u w:val="single"/>
          <w:lang w:val="ka-GE" w:eastAsia="ka-GE"/>
        </w:rPr>
        <w:t>არანაკლებ</w:t>
      </w:r>
      <w:r>
        <w:rPr>
          <w:rFonts w:ascii="Sylfaen" w:eastAsia="Times New Roman" w:hAnsi="Sylfaen" w:cs="Sylfaen"/>
          <w:u w:val="single"/>
          <w:lang w:val="ka-GE" w:eastAsia="ka-GE"/>
        </w:rPr>
        <w:t xml:space="preserve"> 1000 </w:t>
      </w:r>
      <w:r>
        <w:rPr>
          <w:rFonts w:ascii="Sylfaen" w:eastAsia="Times New Roman" w:hAnsi="Sylfaen" w:cs="Sylfaen"/>
          <w:u w:val="single"/>
          <w:lang w:val="ka-GE" w:eastAsia="ka-GE"/>
        </w:rPr>
        <w:t>წევრის</w:t>
      </w:r>
      <w:r>
        <w:rPr>
          <w:rFonts w:ascii="Sylfaen" w:eastAsia="Times New Roman" w:hAnsi="Sylfaen" w:cs="Sylfaen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u w:val="single"/>
          <w:lang w:val="ka-GE" w:eastAsia="ka-GE"/>
        </w:rPr>
        <w:t>სია</w:t>
      </w:r>
      <w:r>
        <w:rPr>
          <w:rFonts w:ascii="Sylfaen" w:eastAsia="Times New Roman" w:hAnsi="Sylfaen" w:cs="Sylfaen"/>
          <w:u w:val="single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lang w:val="en-US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მოქალაქეთა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პოლიტიკური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გაერთიანებების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22-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სიტყვები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პარტიის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არანაკლებ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1000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წევრის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სია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23-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(21.04.2022 N 3/2/1277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ნოტარიულად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ესკიზები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ემბლემისა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</w:t>
      </w:r>
      <w:r>
        <w:rPr>
          <w:rFonts w:ascii="Sylfaen" w:eastAsia="Times New Roman" w:hAnsi="Sylfaen" w:cs="Sylfaen"/>
          <w:lang w:val="ka-GE" w:eastAsia="ka-GE"/>
        </w:rPr>
        <w:t>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ასახულია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6116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4D0524">
      <w:pPr>
        <w:pStyle w:val="muxl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hyperlink r:id="rId4" w:anchor="!" w:history="1"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 xml:space="preserve">მუხლი 24 </w:t>
        </w:r>
      </w:hyperlink>
      <w:r>
        <w:rPr>
          <w:rStyle w:val="Hyperlink"/>
          <w:rFonts w:ascii="Sylfaen" w:hAnsi="Sylfaen" w:cs="Sylfaen"/>
          <w:color w:val="auto"/>
          <w:u w:val="none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(27.05.2016.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5143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CommentText"/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4D052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</w:t>
      </w:r>
      <w:r>
        <w:rPr>
          <w:rFonts w:ascii="Sylfaen" w:eastAsia="Times New Roman" w:hAnsi="Sylfaen" w:cs="Sylfaen"/>
          <w:lang w:val="ka-GE" w:eastAsia="ka-GE"/>
        </w:rPr>
        <w:t>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5" w:anchor="part_27" w:history="1"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>ამ კანონის 23-ე მუხლით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</w:t>
      </w:r>
      <w:r>
        <w:rPr>
          <w:rFonts w:ascii="Sylfaen" w:eastAsia="Times New Roman" w:hAnsi="Sylfaen" w:cs="Sylfaen"/>
          <w:lang w:val="ka-GE" w:eastAsia="ka-GE"/>
        </w:rPr>
        <w:t>რებულ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სიმბოლიკის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გამოფენებისა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საგამომცემლო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</w:t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შემოწირულებად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</w:t>
      </w:r>
      <w:r>
        <w:rPr>
          <w:rFonts w:ascii="Sylfaen" w:eastAsia="Times New Roman" w:hAnsi="Sylfaen" w:cs="Sylfaen"/>
          <w:lang w:val="ka-GE" w:eastAsia="ka-GE"/>
        </w:rPr>
        <w:t>იორები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ფასდაკლები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მოხალისის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შემოწირულებისთვის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ხარდასაჭერად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ფასდაკლებით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მოხალისის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შემოწირულებისთვის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ფასდაკლებით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მოხალისის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იდენტიფიცირებადია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5661)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position w:val="2"/>
          <w:lang w:val="ka-GE" w:eastAsia="ka-GE"/>
        </w:rPr>
        <w:t xml:space="preserve">1. </w:t>
      </w:r>
      <w:r>
        <w:rPr>
          <w:rFonts w:ascii="Sylfaen" w:eastAsia="Times New Roman" w:hAnsi="Sylfaen" w:cs="Sylfaen"/>
          <w:position w:val="2"/>
          <w:lang w:val="ka-GE" w:eastAsia="ka-GE"/>
        </w:rPr>
        <w:t>პარტიის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მიერ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წლის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გაწეული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ხარჯების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საერთო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ოდენობა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არ</w:t>
      </w:r>
      <w:r>
        <w:rPr>
          <w:rFonts w:ascii="Sylfaen" w:eastAsia="Times New Roman" w:hAnsi="Sylfaen" w:cs="Sylfaen"/>
          <w:position w:val="2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2"/>
          <w:lang w:val="ka-GE" w:eastAsia="ka-GE"/>
        </w:rPr>
        <w:t>უნდა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წინა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მთლიან</w:t>
      </w:r>
      <w:r>
        <w:rPr>
          <w:rFonts w:ascii="Sylfaen" w:eastAsia="Times New Roman" w:hAnsi="Sylfaen" w:cs="Sylfaen"/>
          <w:position w:val="1"/>
          <w:lang w:val="ka-GE" w:eastAsia="ka-GE"/>
        </w:rPr>
        <w:t>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შიდა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პროდუქტის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0.1%-</w:t>
      </w:r>
      <w:r>
        <w:rPr>
          <w:rFonts w:ascii="Sylfaen" w:eastAsia="Times New Roman" w:hAnsi="Sylfaen" w:cs="Sylfaen"/>
          <w:position w:val="1"/>
          <w:lang w:val="ka-GE" w:eastAsia="ka-GE"/>
        </w:rPr>
        <w:t>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აღნიშნულ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ოდენობაში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სხვა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გაწეული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ხარჯები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რომლებიც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შესახებაც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ეცნობა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შესაბამის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პარტიას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6116)</w:t>
      </w:r>
    </w:p>
    <w:p w:rsidR="00000000" w:rsidRDefault="004D0524">
      <w:pPr>
        <w:pStyle w:val="Normal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სადღესასწაულო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საჩუქრად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 xml:space="preserve"> 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6116)</w:t>
      </w:r>
    </w:p>
    <w:p w:rsidR="00000000" w:rsidRDefault="004D052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საჩუქრებისა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მაისურების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კეპების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ფასდაკლებით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დაპირებასთან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დაპირებებს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2260)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შემოწირულობების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6116)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სემინარებისა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რგანიზაციისაგან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5661)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t>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სემინარებისა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 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ძალაშია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   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ab/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6116)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</w:t>
      </w:r>
      <w:r>
        <w:rPr>
          <w:rFonts w:ascii="Sylfaen" w:eastAsia="Times New Roman" w:hAnsi="Sylfaen" w:cs="Sylfaen"/>
          <w:lang w:val="ka-GE" w:eastAsia="ka-GE"/>
        </w:rPr>
        <w:t>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ანონიმურად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ანონიმური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ძალაშია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(08.06.2007.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ძალაშია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მათ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შორის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შეიცავს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მუხლის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-2 </w:t>
      </w:r>
      <w:r>
        <w:rPr>
          <w:rFonts w:ascii="Sylfaen" w:eastAsia="Times New Roman" w:hAnsi="Sylfaen" w:cs="Sylfaen"/>
          <w:position w:val="1"/>
          <w:lang w:val="ka-GE" w:eastAsia="ka-GE"/>
        </w:rPr>
        <w:t>პუნქტით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position w:val="1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საჯაროა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აღნიშნული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დადგენილი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აუდიტის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ვებგვერდის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მეშვეობით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უნდა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ინფორმაციის</w:t>
      </w:r>
      <w:r>
        <w:rPr>
          <w:rFonts w:ascii="Sylfae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საჯარო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გასწ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hAnsi="Sylfaen" w:cs="Sylfaen"/>
          <w:sz w:val="20"/>
          <w:szCs w:val="20"/>
          <w:lang w:val="ka-GE" w:eastAsia="ka-GE"/>
        </w:rPr>
        <w:t>(28.12.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5661)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120 000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1 200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შემომწირველი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15%-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D0524">
      <w:pPr>
        <w:pStyle w:val="ListParagraph"/>
        <w:tabs>
          <w:tab w:val="left" w:pos="1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შემომწირველის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</w:t>
      </w:r>
      <w:r>
        <w:rPr>
          <w:rFonts w:ascii="Sylfaen" w:eastAsia="Times New Roman" w:hAnsi="Sylfaen" w:cs="Sylfaen"/>
          <w:lang w:val="ka-GE" w:eastAsia="ka-GE"/>
        </w:rPr>
        <w:t>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5661)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შემომწირველს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სცოდნოდა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</w:t>
      </w:r>
      <w:r>
        <w:rPr>
          <w:rFonts w:ascii="Sylfaen" w:eastAsia="Times New Roman" w:hAnsi="Sylfaen" w:cs="Sylfaen"/>
          <w:lang w:val="ka-GE" w:eastAsia="ka-GE"/>
        </w:rPr>
        <w:t>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6116)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№6724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1%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</w:t>
      </w:r>
      <w:r>
        <w:rPr>
          <w:rFonts w:ascii="Sylfaen" w:eastAsia="Times New Roman" w:hAnsi="Sylfaen" w:cs="Sylfaen"/>
          <w:lang w:val="ka-GE" w:eastAsia="ka-GE"/>
        </w:rPr>
        <w:t>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№6724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230)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1/12-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6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b/>
          <w:bCs/>
          <w:lang w:val="ka-GE" w:eastAsia="ka-GE"/>
        </w:rPr>
        <w:t xml:space="preserve">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(30.12.2008.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963)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5661)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საგამომცემლო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გასავალი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არჩევნ</w:t>
      </w:r>
      <w:r>
        <w:rPr>
          <w:rFonts w:ascii="Sylfaen" w:eastAsia="Times New Roman" w:hAnsi="Sylfaen" w:cs="Sylfaen"/>
          <w:lang w:val="ka-GE" w:eastAsia="ka-GE"/>
        </w:rPr>
        <w:t>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მივლინებაზე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არჩევნებისათვის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ნაჩვენები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(22.06.2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10 000 (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5661)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დამოუ</w:t>
      </w:r>
      <w:r>
        <w:rPr>
          <w:rFonts w:ascii="Sylfaen" w:eastAsia="Times New Roman" w:hAnsi="Sylfaen" w:cs="Sylfaen"/>
          <w:lang w:val="ka-GE" w:eastAsia="ka-GE"/>
        </w:rPr>
        <w:t>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1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შეიმუშაოს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წლიური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საფინანსო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ფორმა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საარჩევნო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კამპანიის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ფონდის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ანგარიშის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ფორმა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სისრულე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სისწორე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ამონაბეჭდს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შემომწირველი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</w:t>
      </w:r>
      <w:r>
        <w:rPr>
          <w:rFonts w:ascii="Sylfaen" w:eastAsia="Times New Roman" w:hAnsi="Sylfaen" w:cs="Sylfaen"/>
          <w:lang w:val="ka-GE" w:eastAsia="ka-GE"/>
        </w:rPr>
        <w:t>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გამოსათხოვი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გამოსათხოვი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</w:p>
    <w:p w:rsidR="00000000" w:rsidRDefault="004D0524">
      <w:pPr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 xml:space="preserve"> 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6116)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</w:t>
      </w:r>
      <w:r>
        <w:rPr>
          <w:rFonts w:ascii="Sylfaen" w:eastAsia="Times New Roman" w:hAnsi="Sylfaen" w:cs="Sylfaen"/>
          <w:lang w:val="ka-GE" w:eastAsia="ka-GE"/>
        </w:rPr>
        <w:t>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მხარდასაჭერადაც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ძლებოდა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</w:t>
      </w:r>
      <w:r>
        <w:rPr>
          <w:rFonts w:ascii="Sylfaen" w:eastAsia="Times New Roman" w:hAnsi="Sylfaen" w:cs="Sylfaen"/>
          <w:lang w:val="ka-GE" w:eastAsia="ka-GE"/>
        </w:rPr>
        <w:t>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:rsidR="00000000" w:rsidRDefault="004D052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დააბრკოლოს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900)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საწევრო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პარტიის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აღვივებს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კუთხურ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შუღლს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</w:t>
      </w:r>
      <w:r>
        <w:rPr>
          <w:rFonts w:ascii="Sylfaen" w:eastAsia="Times New Roman" w:hAnsi="Sylfaen" w:cs="Sylfaen"/>
          <w:lang w:val="ka-GE" w:eastAsia="ka-GE"/>
        </w:rPr>
        <w:t>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გაყოფა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პარტიების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1. "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1991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აგვისტოს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(15.0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7.2008.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230)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პარტიაზე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1026)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ab/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230)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1026)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963)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</w:t>
      </w:r>
      <w:r>
        <w:rPr>
          <w:rFonts w:ascii="Sylfaen" w:eastAsia="Times New Roman" w:hAnsi="Sylfaen" w:cs="Sylfaen"/>
          <w:lang w:val="ka-GE" w:eastAsia="ka-GE"/>
        </w:rPr>
        <w:t>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პარტიამ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(07.08.2013.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923)</w:t>
      </w:r>
    </w:p>
    <w:p w:rsidR="00000000" w:rsidRDefault="004D052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(07.08.2013.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923)</w:t>
      </w: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  <w:r>
        <w:rPr>
          <w:rFonts w:ascii="Sylfaen" w:hAnsi="Sylfaen" w:cs="Sylfaen"/>
          <w:position w:val="12"/>
          <w:lang w:val="ka-GE" w:eastAsia="ka-GE"/>
        </w:rPr>
        <w:t xml:space="preserve">1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2028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30%-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</w:t>
      </w:r>
      <w:r>
        <w:rPr>
          <w:rFonts w:ascii="Sylfaen" w:eastAsia="Times New Roman" w:hAnsi="Sylfaen" w:cs="Sylfaen"/>
          <w:lang w:val="ka-GE" w:eastAsia="ka-GE"/>
        </w:rPr>
        <w:t>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დანამატი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4D0524">
      <w:pPr>
        <w:ind w:firstLine="709"/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222222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პარტია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2024 </w:t>
      </w:r>
      <w:r>
        <w:rPr>
          <w:rFonts w:ascii="Sylfaen" w:eastAsia="Times New Roman" w:hAnsi="Sylfaen" w:cs="Sylfaen"/>
          <w:color w:val="222222"/>
          <w:lang w:val="ka-GE" w:eastAsia="ka-GE"/>
        </w:rPr>
        <w:t>წლამდე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ჩატარ</w:t>
      </w:r>
      <w:r>
        <w:rPr>
          <w:rFonts w:ascii="Sylfaen" w:eastAsia="Times New Roman" w:hAnsi="Sylfaen" w:cs="Sylfaen"/>
          <w:color w:val="222222"/>
          <w:lang w:val="ka-GE" w:eastAsia="ka-GE"/>
        </w:rPr>
        <w:t>ებულ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ბლოკის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ბლოკში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ყველა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პარტიის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მისაღები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თანხა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222222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წესით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ბლოკის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მიერ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სისტემით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ხმების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ჯამური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თანხა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ბლოკში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შემავალ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პარტიებზე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თანაბრად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იყოფა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ბლოკის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წესდებით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პროპორცია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222222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თანხას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იმ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ბლოკში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პარტიები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მიიღებენ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რომელმაც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კონსტიტუციითა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აქტებით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ბარიერი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გადალახა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</w:p>
    <w:p w:rsidR="00000000" w:rsidRDefault="004D0524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3. 2024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4. 2024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4D052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  <w:r>
        <w:rPr>
          <w:rFonts w:ascii="Sylfaen" w:hAnsi="Sylfaen" w:cs="Sylfaen"/>
          <w:position w:val="12"/>
          <w:lang w:val="ka-GE" w:eastAsia="ka-GE"/>
        </w:rPr>
        <w:t xml:space="preserve">2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2024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№6724)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2260)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2009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იანვრიდან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41.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ჩაითვალოს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1991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აგვისტოს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"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</w:t>
      </w:r>
      <w:r>
        <w:rPr>
          <w:rFonts w:ascii="Sylfaen" w:eastAsia="Times New Roman" w:hAnsi="Sylfaen" w:cs="Sylfaen"/>
          <w:lang w:val="en-US"/>
        </w:rPr>
        <w:t>, 1991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 xml:space="preserve">., 8,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 xml:space="preserve">. 591). 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             </w:t>
      </w:r>
      <w:r>
        <w:rPr>
          <w:rFonts w:ascii="Sylfaen" w:eastAsia="Times New Roman" w:hAnsi="Sylfaen" w:cs="Sylfaen"/>
          <w:lang w:val="en-US"/>
        </w:rPr>
        <w:t xml:space="preserve">                   </w:t>
      </w:r>
      <w:r>
        <w:rPr>
          <w:rFonts w:ascii="Sylfaen" w:eastAsia="Times New Roman" w:hAnsi="Sylfaen" w:cs="Sylfaen"/>
          <w:lang w:val="en-US"/>
        </w:rPr>
        <w:t>ედუარდ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შევარდნაძე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1997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31 </w:t>
      </w:r>
      <w:r>
        <w:rPr>
          <w:rFonts w:ascii="Sylfaen" w:eastAsia="Times New Roman" w:hAnsi="Sylfaen" w:cs="Sylfaen"/>
          <w:lang w:val="en-US"/>
        </w:rPr>
        <w:t>ოქტომბერი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1028 - 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4D052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4D0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0524"/>
    <w:rsid w:val="004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before="240" w:after="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harChar6">
    <w:name w:val="Char Char6"/>
    <w:basedOn w:val="DefaultParagraphFont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ka/document/view/28324" TargetMode="External"/><Relationship Id="rId4" Type="http://schemas.openxmlformats.org/officeDocument/2006/relationships/hyperlink" Target="https://matsne.gov.ge/ka/document/view/28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7872</Words>
  <Characters>44872</Characters>
  <Application>Microsoft Office Word</Application>
  <DocSecurity>0</DocSecurity>
  <Lines>373</Lines>
  <Paragraphs>105</Paragraphs>
  <ScaleCrop>false</ScaleCrop>
  <Company/>
  <LinksUpToDate>false</LinksUpToDate>
  <CharactersWithSpaces>52639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