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არადეკლარირებული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საგადასახადო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ვალდებულებებისა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ქონების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ლეგალიზაციის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ჰუმანიზმის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ხასიათის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>: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სამეწარმეო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;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არადეკლარირებული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t>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ლეგალიზების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დაფარვისათვის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.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>: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u w:val="single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ქონე</w:t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დააგროვეს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როგორიცაა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ნარკოტიკებითა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ტერორიზმი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ტრეფიკინგი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ტრანსნაციონალური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დანაშაულები</w:t>
      </w:r>
      <w:r>
        <w:rPr>
          <w:rFonts w:ascii="Sylfaen" w:hAnsi="Sylfaen" w:cs="Sylfaen"/>
        </w:rPr>
        <w:t xml:space="preserve">; 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შეუთავსებლობისა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კორუფციის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სათათბირო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შეუთავსებლობისა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კორუფციის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გათანაბრებული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47-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1997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17 </w:t>
      </w:r>
      <w:r>
        <w:rPr>
          <w:rFonts w:ascii="Sylfaen" w:hAnsi="Sylfaen" w:cs="Sylfaen"/>
        </w:rPr>
        <w:t>ოქტომბრიდან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საწესდებო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კაპიტალი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აღემატებოდა</w:t>
      </w:r>
      <w:r>
        <w:rPr>
          <w:rFonts w:ascii="Sylfaen" w:hAnsi="Sylfaen" w:cs="Sylfaen"/>
        </w:rPr>
        <w:t>) 1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</w:rPr>
        <w:t>მილიონ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ფლობს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ფლობდა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წილის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აქციათა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50%-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50%-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21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.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ლეგალიზაციის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დაუსაბუთებელი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დაუსაბუთებელი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2004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რეზიდენტ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ბანკებში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ანაბრის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</w:t>
      </w:r>
      <w:r>
        <w:rPr>
          <w:rFonts w:ascii="Sylfaen" w:hAnsi="Sylfaen" w:cs="Sylfaen"/>
        </w:rPr>
        <w:t>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ქმედებებზე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11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  <w:r>
        <w:rPr>
          <w:rFonts w:ascii="Sylfaen" w:hAnsi="Sylfaen" w:cs="Sylfaen"/>
        </w:rPr>
        <w:t xml:space="preserve">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 xml:space="preserve">: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საგზაო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>;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დაფარული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) –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</w:rPr>
        <w:t>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192-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197-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199-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, 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-200, </w:t>
      </w:r>
      <w:r>
        <w:rPr>
          <w:rFonts w:ascii="Sylfaen" w:hAnsi="Sylfaen" w:cs="Sylfaen"/>
        </w:rPr>
        <w:t>201-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204-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209-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220-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214-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214-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1960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დეკემბრის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1961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 xml:space="preserve">., ¹1,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10) 79-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160-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160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160</w:t>
      </w:r>
      <w:r>
        <w:rPr>
          <w:rFonts w:ascii="Sylfaen" w:hAnsi="Sylfaen" w:cs="Sylfaen"/>
          <w:position w:val="6"/>
        </w:rPr>
        <w:t xml:space="preserve">2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162-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163-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164-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165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165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>, 165</w:t>
      </w:r>
      <w:r>
        <w:rPr>
          <w:rFonts w:ascii="Sylfaen" w:hAnsi="Sylfaen" w:cs="Sylfaen"/>
          <w:position w:val="6"/>
        </w:rPr>
        <w:t>4</w:t>
      </w:r>
      <w:r>
        <w:rPr>
          <w:rFonts w:ascii="Sylfaen" w:hAnsi="Sylfaen" w:cs="Sylfaen"/>
        </w:rPr>
        <w:t>, 165</w:t>
      </w:r>
      <w:r>
        <w:rPr>
          <w:rFonts w:ascii="Sylfaen" w:hAnsi="Sylfaen" w:cs="Sylfaen"/>
          <w:position w:val="6"/>
        </w:rPr>
        <w:t>5</w:t>
      </w:r>
      <w:r>
        <w:rPr>
          <w:rFonts w:ascii="Sylfaen" w:hAnsi="Sylfaen" w:cs="Sylfaen"/>
        </w:rPr>
        <w:t>, 165</w:t>
      </w:r>
      <w:r>
        <w:rPr>
          <w:rFonts w:ascii="Sylfaen" w:hAnsi="Sylfaen" w:cs="Sylfaen"/>
          <w:position w:val="6"/>
        </w:rPr>
        <w:t>6</w:t>
      </w:r>
      <w:r>
        <w:rPr>
          <w:rFonts w:ascii="Sylfaen" w:hAnsi="Sylfaen" w:cs="Sylfaen"/>
        </w:rPr>
        <w:t>, 166-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166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167-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169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169</w:t>
      </w:r>
      <w:r>
        <w:rPr>
          <w:rFonts w:ascii="Sylfaen" w:hAnsi="Sylfaen" w:cs="Sylfaen"/>
          <w:position w:val="6"/>
        </w:rPr>
        <w:t>6</w:t>
      </w:r>
      <w:r>
        <w:rPr>
          <w:rFonts w:ascii="Sylfaen" w:hAnsi="Sylfaen" w:cs="Sylfaen"/>
        </w:rPr>
        <w:t>, 169</w:t>
      </w:r>
      <w:r>
        <w:rPr>
          <w:rFonts w:ascii="Sylfaen" w:hAnsi="Sylfaen" w:cs="Sylfaen"/>
          <w:position w:val="6"/>
        </w:rPr>
        <w:t>7</w:t>
      </w:r>
      <w:r>
        <w:rPr>
          <w:rFonts w:ascii="Sylfaen" w:hAnsi="Sylfaen" w:cs="Sylfaen"/>
        </w:rPr>
        <w:t>, 171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172-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173-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173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173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174-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;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ინვესტიცია</w:t>
      </w:r>
      <w:r>
        <w:rPr>
          <w:rFonts w:ascii="Sylfaen" w:hAnsi="Sylfaen" w:cs="Sylfaen"/>
        </w:rPr>
        <w:t xml:space="preserve"> – „</w:t>
      </w:r>
      <w:r>
        <w:rPr>
          <w:rFonts w:ascii="Sylfaen" w:hAnsi="Sylfaen" w:cs="Sylfaen"/>
        </w:rPr>
        <w:t>საინვესტიციო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ფასეულობა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ამოქმედებისთანავე</w:t>
      </w:r>
      <w:r>
        <w:rPr>
          <w:rFonts w:ascii="Sylfaen" w:hAnsi="Sylfaen" w:cs="Sylfaen"/>
        </w:rPr>
        <w:t>: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სასამართლოებში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განუხილველი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2004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192-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197-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199-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-200, 201-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204-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209-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213-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214-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214-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>, 216-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220-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1960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დეკემბრის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1961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 xml:space="preserve">., ¹1,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10) 79-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160-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160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160</w:t>
      </w:r>
      <w:r>
        <w:rPr>
          <w:rFonts w:ascii="Sylfaen" w:hAnsi="Sylfaen" w:cs="Sylfaen"/>
          <w:position w:val="6"/>
        </w:rPr>
        <w:t xml:space="preserve">2 </w:t>
      </w:r>
      <w:r>
        <w:rPr>
          <w:rFonts w:ascii="Sylfaen" w:hAnsi="Sylfaen" w:cs="Sylfaen"/>
        </w:rPr>
        <w:t>მუხლებ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>, 162-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163-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164-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165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165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>, 165</w:t>
      </w:r>
      <w:r>
        <w:rPr>
          <w:rFonts w:ascii="Sylfaen" w:hAnsi="Sylfaen" w:cs="Sylfaen"/>
          <w:position w:val="6"/>
        </w:rPr>
        <w:t>4</w:t>
      </w:r>
      <w:r>
        <w:rPr>
          <w:rFonts w:ascii="Sylfaen" w:hAnsi="Sylfaen" w:cs="Sylfaen"/>
        </w:rPr>
        <w:t>, 165</w:t>
      </w:r>
      <w:r>
        <w:rPr>
          <w:rFonts w:ascii="Sylfaen" w:hAnsi="Sylfaen" w:cs="Sylfaen"/>
          <w:position w:val="6"/>
        </w:rPr>
        <w:t>5</w:t>
      </w:r>
      <w:r>
        <w:rPr>
          <w:rFonts w:ascii="Sylfaen" w:hAnsi="Sylfaen" w:cs="Sylfaen"/>
        </w:rPr>
        <w:t>, 165</w:t>
      </w:r>
      <w:r>
        <w:rPr>
          <w:rFonts w:ascii="Sylfaen" w:hAnsi="Sylfaen" w:cs="Sylfaen"/>
          <w:position w:val="6"/>
        </w:rPr>
        <w:t>6</w:t>
      </w:r>
      <w:r>
        <w:rPr>
          <w:rFonts w:ascii="Sylfaen" w:hAnsi="Sylfaen" w:cs="Sylfaen"/>
        </w:rPr>
        <w:t>, 166-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166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167-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169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>, 169</w:t>
      </w:r>
      <w:r>
        <w:rPr>
          <w:rFonts w:ascii="Sylfaen" w:hAnsi="Sylfaen" w:cs="Sylfaen"/>
          <w:position w:val="6"/>
        </w:rPr>
        <w:t>6</w:t>
      </w:r>
      <w:r>
        <w:rPr>
          <w:rFonts w:ascii="Sylfaen" w:hAnsi="Sylfaen" w:cs="Sylfaen"/>
        </w:rPr>
        <w:t>, 169</w:t>
      </w:r>
      <w:r>
        <w:rPr>
          <w:rFonts w:ascii="Sylfaen" w:hAnsi="Sylfaen" w:cs="Sylfaen"/>
          <w:position w:val="6"/>
        </w:rPr>
        <w:t>7</w:t>
      </w:r>
      <w:r>
        <w:rPr>
          <w:rFonts w:ascii="Sylfaen" w:hAnsi="Sylfaen" w:cs="Sylfaen"/>
        </w:rPr>
        <w:t>, 171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  172-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173-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173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173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174-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დანაშაულები</w:t>
      </w:r>
      <w:r>
        <w:rPr>
          <w:rFonts w:ascii="Sylfaen" w:hAnsi="Sylfaen" w:cs="Sylfaen"/>
        </w:rPr>
        <w:t>;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გათავისუფლდნენ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ჩადენისათვის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ნასამართლობა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მოეხსნებათ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</w:t>
      </w:r>
      <w:r>
        <w:rPr>
          <w:rFonts w:ascii="Sylfaen" w:hAnsi="Sylfaen" w:cs="Sylfaen"/>
        </w:rPr>
        <w:t>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2004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შეფარდებულ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ჯარიმაზე</w:t>
      </w:r>
      <w:r>
        <w:rPr>
          <w:rFonts w:ascii="Sylfaen" w:hAnsi="Sylfaen" w:cs="Sylfaen"/>
        </w:rPr>
        <w:t xml:space="preserve">. </w:t>
      </w:r>
    </w:p>
    <w:p w:rsidR="00000000" w:rsidRDefault="004B3083">
      <w:pPr>
        <w:pStyle w:val="Normal0"/>
        <w:tabs>
          <w:tab w:val="left" w:pos="118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hanging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არადეკლარირებული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  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hanging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            </w:t>
      </w:r>
      <w:r>
        <w:rPr>
          <w:rFonts w:ascii="Sylfaen" w:hAnsi="Sylfaen" w:cs="Sylfaen"/>
        </w:rPr>
        <w:t>ლეგალიზაციის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6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2004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სამართალწარმოება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აგენტებზე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2004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>: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დეკლარირებულ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დარიცხულ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აღრიცხულ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ვალდებულებებზე</w:t>
      </w:r>
      <w:r>
        <w:rPr>
          <w:rFonts w:ascii="Sylfaen" w:hAnsi="Sylfaen" w:cs="Sylfaen"/>
        </w:rPr>
        <w:t>;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უსაქონლო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ფიქტიური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გარიგების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</w:t>
      </w:r>
      <w:r>
        <w:rPr>
          <w:rFonts w:ascii="Sylfaen" w:hAnsi="Sylfaen" w:cs="Sylfaen"/>
        </w:rPr>
        <w:t>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ზედმეტად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დაფიქსირებულ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ანულირებას</w:t>
      </w:r>
      <w:r>
        <w:rPr>
          <w:rFonts w:ascii="Sylfaen" w:hAnsi="Sylfaen" w:cs="Sylfaen"/>
        </w:rPr>
        <w:t xml:space="preserve">. 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მაკონტროლებელ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</w:t>
      </w:r>
      <w:r>
        <w:rPr>
          <w:rFonts w:ascii="Sylfaen" w:hAnsi="Sylfaen" w:cs="Sylfaen"/>
        </w:rPr>
        <w:t>მცავ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ეკრძალებათ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რევიზიის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შესწავლა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გადამოწმება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დაფარული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დეკლარირება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ab/>
        <w:t xml:space="preserve">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</w:t>
      </w:r>
      <w:r>
        <w:rPr>
          <w:rFonts w:ascii="Sylfaen" w:hAnsi="Sylfaen" w:cs="Sylfaen"/>
        </w:rPr>
        <w:t>ლეგალიზაციის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6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ლეგალიზაცია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საბაზრო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1%-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დაფარული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ლეგალიზება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 1%-</w:t>
      </w:r>
      <w:r>
        <w:rPr>
          <w:rFonts w:ascii="Sylfaen" w:hAnsi="Sylfaen" w:cs="Sylfaen"/>
        </w:rPr>
        <w:t>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გადაუხდელად</w:t>
      </w:r>
      <w:r>
        <w:rPr>
          <w:rFonts w:ascii="Sylfaen" w:hAnsi="Sylfaen" w:cs="Sylfaen"/>
        </w:rPr>
        <w:t>. 1%-</w:t>
      </w:r>
      <w:r>
        <w:rPr>
          <w:rFonts w:ascii="Sylfaen" w:hAnsi="Sylfaen" w:cs="Sylfaen"/>
        </w:rPr>
        <w:t>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ქონებაზე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ab/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ამსახველი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ბაზრო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1%-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ქვითარი</w:t>
      </w:r>
      <w:r>
        <w:rPr>
          <w:rFonts w:ascii="Sylfaen" w:hAnsi="Sylfaen" w:cs="Sylfaen"/>
        </w:rPr>
        <w:t>;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31 </w:t>
      </w:r>
      <w:r>
        <w:rPr>
          <w:rFonts w:ascii="Sylfaen" w:hAnsi="Sylfaen" w:cs="Sylfaen"/>
        </w:rPr>
        <w:t>დეკემბრამდე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რეზიდენტ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შემნახველ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ანაბრებზე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ვალუტაში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ნაღდი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საზღვარგარეთიდან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გადმორიცხვით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დეკლარაციაში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აისახება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</w:t>
      </w:r>
      <w:r>
        <w:rPr>
          <w:rFonts w:ascii="Sylfaen" w:hAnsi="Sylfaen" w:cs="Sylfaen"/>
        </w:rPr>
        <w:t>არეობა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დეკლარაციაში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კონფიდენციალურ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</w:t>
      </w:r>
      <w:r>
        <w:rPr>
          <w:rFonts w:ascii="Sylfaen" w:hAnsi="Sylfaen" w:cs="Sylfaen"/>
        </w:rPr>
        <w:t>ვნები</w:t>
      </w:r>
      <w:r>
        <w:rPr>
          <w:rFonts w:ascii="Sylfaen" w:hAnsi="Sylfaen" w:cs="Sylfaen"/>
        </w:rPr>
        <w:t xml:space="preserve">.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დეკლარაციასა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1%-</w:t>
      </w:r>
      <w:r>
        <w:rPr>
          <w:rFonts w:ascii="Sylfaen" w:hAnsi="Sylfaen" w:cs="Sylfaen"/>
        </w:rPr>
        <w:t>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ქვითარს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დეკლარანტს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უბრუნებს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ქვითრის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ცნობას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6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</w:t>
      </w:r>
      <w:r>
        <w:rPr>
          <w:rFonts w:ascii="Sylfaen" w:hAnsi="Sylfaen" w:cs="Sylfaen"/>
        </w:rPr>
        <w:t>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ლეგალიზაციისას</w:t>
      </w:r>
      <w:r>
        <w:rPr>
          <w:rFonts w:ascii="Sylfaen" w:hAnsi="Sylfaen" w:cs="Sylfaen"/>
        </w:rPr>
        <w:t>: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დეკლარაციის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ქვითრის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დეკლარაციის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ქვითრის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რეგისტრაციაში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დაფარული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ლეგალიზაციის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საბუთს</w:t>
      </w:r>
      <w:r>
        <w:rPr>
          <w:rFonts w:ascii="Sylfaen" w:hAnsi="Sylfaen" w:cs="Sylfaen"/>
        </w:rPr>
        <w:t>;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რეზიდენტ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ლეგალიზაციის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საბუთს</w:t>
      </w:r>
      <w:r>
        <w:rPr>
          <w:rFonts w:ascii="Sylfaen" w:hAnsi="Sylfaen" w:cs="Sylfaen"/>
        </w:rPr>
        <w:t xml:space="preserve">.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6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ლეგალიზებულად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>: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1992 </w:t>
      </w:r>
      <w:r>
        <w:rPr>
          <w:rFonts w:ascii="Sylfaen" w:hAnsi="Sylfaen" w:cs="Sylfaen"/>
        </w:rPr>
        <w:t>წლამდე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1992-2004 </w:t>
      </w:r>
      <w:r>
        <w:rPr>
          <w:rFonts w:ascii="Sylfaen" w:hAnsi="Sylfaen" w:cs="Sylfaen"/>
        </w:rPr>
        <w:t>წლებში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აშენებული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საბაზრო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300 000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 xml:space="preserve">;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ანაბრებზე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ანგარიშებზე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განთავსებული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</w:t>
      </w:r>
      <w:r>
        <w:rPr>
          <w:rFonts w:ascii="Sylfaen" w:hAnsi="Sylfaen" w:cs="Sylfaen"/>
        </w:rPr>
        <w:t>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6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ლეგალიზებულ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რუ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საგზაო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შესრულებულად</w:t>
      </w:r>
      <w:r>
        <w:rPr>
          <w:rFonts w:ascii="Sylfaen" w:hAnsi="Sylfaen" w:cs="Sylfaen"/>
        </w:rPr>
        <w:t xml:space="preserve"> 2004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1 </w:t>
      </w:r>
      <w:r>
        <w:rPr>
          <w:rFonts w:ascii="Sylfaen" w:hAnsi="Sylfaen" w:cs="Sylfaen"/>
        </w:rPr>
        <w:t>იანვრის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მდგომარეობით</w:t>
      </w:r>
      <w:r>
        <w:rPr>
          <w:rFonts w:ascii="Sylfaen" w:hAnsi="Sylfaen" w:cs="Sylfaen"/>
        </w:rPr>
        <w:t xml:space="preserve">.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6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მაკონტროლებელ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სამართალდამცავ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ეკრძალებათ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ლეგალიზებული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დაფარული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რევიზია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კონტ</w:t>
      </w:r>
      <w:r>
        <w:rPr>
          <w:rFonts w:ascii="Sylfaen" w:hAnsi="Sylfaen" w:cs="Sylfaen"/>
        </w:rPr>
        <w:t>როლი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შესწავლა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გადამოწმება</w:t>
      </w:r>
      <w:r>
        <w:rPr>
          <w:rFonts w:ascii="Sylfaen" w:hAnsi="Sylfaen" w:cs="Sylfaen"/>
        </w:rPr>
        <w:t xml:space="preserve">).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6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შესატან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დეკლარაციის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>, 1%-</w:t>
      </w:r>
      <w:r>
        <w:rPr>
          <w:rFonts w:ascii="Sylfaen" w:hAnsi="Sylfaen" w:cs="Sylfaen"/>
        </w:rPr>
        <w:t>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ჩამონათვალს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გარდამავალი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7"/>
        <w:jc w:val="both"/>
        <w:rPr>
          <w:rFonts w:ascii="Sylfaen" w:hAnsi="Sylfaen" w:cs="Sylfaen"/>
          <w:b/>
          <w:bCs/>
          <w:u w:val="single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მოთხოვნიდან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გაანადგურონ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დაუბრუნონ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შენახული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მათივე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დეკლარაციები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გენერალური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დეკლარანტს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გაანადგუროს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დოკუმენტაცია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</w:t>
      </w:r>
      <w:r>
        <w:rPr>
          <w:rFonts w:ascii="Sylfaen" w:hAnsi="Sylfaen" w:cs="Sylfaen"/>
        </w:rPr>
        <w:t>მედებიდან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გამოცემა</w:t>
      </w:r>
      <w:r>
        <w:rPr>
          <w:rFonts w:ascii="Sylfaen" w:hAnsi="Sylfaen" w:cs="Sylfaen"/>
        </w:rPr>
        <w:t xml:space="preserve">.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</w:t>
      </w:r>
      <w:r>
        <w:rPr>
          <w:rFonts w:ascii="Sylfaen" w:hAnsi="Sylfaen" w:cs="Sylfaen"/>
        </w:rPr>
        <w:t xml:space="preserve">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</w:t>
      </w:r>
      <w:r>
        <w:rPr>
          <w:rFonts w:ascii="Sylfaen" w:hAnsi="Sylfaen" w:cs="Sylfaen"/>
          <w:b/>
          <w:bCs/>
          <w:i/>
          <w:iCs/>
        </w:rPr>
        <w:t>ააკაშვილი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40"/>
        <w:jc w:val="both"/>
        <w:rPr>
          <w:rFonts w:ascii="Sylfaen" w:hAnsi="Sylfaen" w:cs="Sylfaen"/>
        </w:rPr>
      </w:pP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821- </w:t>
      </w:r>
      <w:r>
        <w:rPr>
          <w:rFonts w:ascii="Sylfaen" w:hAnsi="Sylfaen" w:cs="Sylfaen"/>
        </w:rPr>
        <w:t>რს</w:t>
      </w:r>
      <w:r>
        <w:rPr>
          <w:rFonts w:ascii="Sylfaen" w:hAnsi="Sylfaen" w:cs="Sylfaen"/>
        </w:rPr>
        <w:t xml:space="preserve"> </w:t>
      </w:r>
    </w:p>
    <w:p w:rsidR="00000000" w:rsidRDefault="004B30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4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B3083"/>
    <w:rsid w:val="004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Base>D:\asmati\1\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