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0FBA">
      <w:pPr>
        <w:pStyle w:val="Normal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left="446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80FBA">
      <w:pPr>
        <w:pStyle w:val="Normal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5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80FBA">
      <w:pPr>
        <w:pStyle w:val="Normal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50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მკაცრი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აღრიცხვის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ფორმების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80FBA">
      <w:pPr>
        <w:pStyle w:val="Normal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50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B80FBA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5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B80FBA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5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B80FBA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450"/>
        <w:jc w:val="center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eastAsia="Times New Roman" w:hAnsi="Sylfaen" w:cs="Sylfaen"/>
          <w:lang w:val="en-US"/>
        </w:rPr>
        <w:t xml:space="preserve">.  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</w:t>
      </w:r>
      <w:r>
        <w:rPr>
          <w:rFonts w:ascii="Sylfaen" w:eastAsia="Times New Roman" w:hAnsi="Sylfaen" w:cs="Sylfaen"/>
          <w:lang w:val="en-US"/>
        </w:rPr>
        <w:t>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ბლანკების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ბილეთების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დამზადების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დამყარება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დაფიქსირებისათვის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ართალსუბიექტი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i/>
          <w:iCs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81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სირთულეთა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</w:t>
      </w:r>
      <w:r>
        <w:rPr>
          <w:rFonts w:ascii="Sylfaen" w:eastAsia="Times New Roman" w:hAnsi="Sylfaen" w:cs="Sylfaen"/>
          <w:sz w:val="24"/>
          <w:szCs w:val="24"/>
          <w:lang w:val="en-US"/>
        </w:rPr>
        <w:t>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4–6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</w:t>
      </w:r>
      <w:r>
        <w:rPr>
          <w:rFonts w:ascii="Sylfaen" w:eastAsia="Times New Roman" w:hAnsi="Sylfaen" w:cs="Sylfaen"/>
          <w:lang w:val="en-US"/>
        </w:rPr>
        <w:t>ტრაცია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80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სამართალსუბიექტი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რეგისტრაციაში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გამოსაყენებელი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>).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647)</w:t>
      </w:r>
    </w:p>
    <w:p w:rsidR="00000000" w:rsidRDefault="00B80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</w:t>
      </w:r>
      <w:r>
        <w:rPr>
          <w:rFonts w:ascii="Sylfaen" w:eastAsia="Times New Roman" w:hAnsi="Sylfaen" w:cs="Sylfaen"/>
          <w:lang w:val="en-US"/>
        </w:rPr>
        <w:t>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ბინადრობის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მოწმობისა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ნეიტრალური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იბეჭდება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არაქართულ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B80FBA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</w:t>
      </w:r>
      <w:r>
        <w:rPr>
          <w:rFonts w:ascii="Sylfaen" w:eastAsia="Times New Roman" w:hAnsi="Sylfaen" w:cs="Sylfaen"/>
          <w:lang w:val="ka-GE" w:eastAsia="ka-GE"/>
        </w:rPr>
        <w:t>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B80FBA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კატეგორიები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დაბეჭდონ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დაბეჭდონ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დაბეჭდონ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</w:p>
    <w:p w:rsidR="00000000" w:rsidRDefault="00B80FBA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6.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საწარმოებისადმი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lang w:val="en-US"/>
        </w:rPr>
        <w:t>მკ</w:t>
      </w:r>
      <w:r>
        <w:rPr>
          <w:rFonts w:ascii="Sylfaen" w:eastAsia="Times New Roman" w:hAnsi="Sylfaen" w:cs="Sylfaen"/>
          <w:lang w:val="en-US"/>
        </w:rPr>
        <w:t>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</w:t>
      </w:r>
      <w:r>
        <w:rPr>
          <w:rFonts w:ascii="Sylfaen" w:eastAsia="Times New Roman" w:hAnsi="Sylfaen" w:cs="Sylfaen"/>
          <w:lang w:val="en-US"/>
        </w:rPr>
        <w:t>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დასამზადებლად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ფლობდნენ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ორიგინალების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ნიმუშების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საბეჭდი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ნუმერაციისა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</w:t>
      </w:r>
      <w:r>
        <w:rPr>
          <w:rFonts w:ascii="Sylfaen" w:eastAsia="Times New Roman" w:hAnsi="Sylfaen" w:cs="Sylfaen"/>
          <w:lang w:val="en-US"/>
        </w:rPr>
        <w:t>ოგიები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მოწყობილობები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გაყალბებისა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არასანქცირებული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ტირაჟირებისაგან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ჰყავდეთ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პოლიგრაფიული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კერძოდ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გარდერობი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მოეწყოს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გამოირიცხოს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ნაბეჭდი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საწა</w:t>
      </w:r>
      <w:r>
        <w:rPr>
          <w:rFonts w:ascii="Sylfaen" w:eastAsia="Times New Roman" w:hAnsi="Sylfaen" w:cs="Sylfaen"/>
          <w:lang w:val="en-US"/>
        </w:rPr>
        <w:t>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ენერგოკვების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წყაროთი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გენერატორით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სასაწყობო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ნედლეულისა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განცალკევებული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ოთახი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ბეჭდვამდელ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ბეჭდვისშემდგომი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BodyTextInden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წუნმდებელ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მაკონტროლებელ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საამქროებისა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ნუმერაციისა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>5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პოლიგრაფიულ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დაიტანოს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ესაჭიროება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8.04.2011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4523)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ხელყოფისაგან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hAnsi="Sylfaen" w:cs="Sylfaen"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ტირაჟირებას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სამართალსუბიექტების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80FBA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მომარაგებას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სამართალსუბიექტთა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შეკვეთების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მინდობილობების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80FBA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9.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შეკვეთების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სამართალსუბიექტები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</w:t>
      </w:r>
      <w:r>
        <w:rPr>
          <w:rFonts w:ascii="Sylfaen" w:eastAsia="Times New Roman" w:hAnsi="Sylfaen" w:cs="Sylfaen"/>
          <w:lang w:val="en-US"/>
        </w:rPr>
        <w:t>ებს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შეკვეთების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დანომრილი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ზონარგაყრ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შეკვეთის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რეკვიზიტები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ტირაჟი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საკონტროლო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ეგზემპლარების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>რიღი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დამკვეთისთვის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ფაქტობრივად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ანულირება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შენიშვნა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შეკვეთების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გრაფები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</w:t>
      </w:r>
      <w:r>
        <w:rPr>
          <w:rFonts w:ascii="Sylfaen" w:eastAsia="Times New Roman" w:hAnsi="Sylfaen" w:cs="Sylfaen"/>
          <w:lang w:val="en-US"/>
        </w:rPr>
        <w:t>ინარეობის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შესრულებისადმი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ნუმერაცია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ნუმერატორით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პოლიგრ</w:t>
      </w:r>
      <w:r>
        <w:rPr>
          <w:rFonts w:ascii="Sylfaen" w:eastAsia="Times New Roman" w:hAnsi="Sylfaen" w:cs="Sylfaen"/>
          <w:lang w:val="ka-GE" w:eastAsia="ka-GE"/>
        </w:rPr>
        <w:t>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ციფრისა</w:t>
      </w:r>
      <w:r>
        <w:rPr>
          <w:rFonts w:ascii="Sylfaen" w:eastAsia="Times New Roman" w:hAnsi="Sylfaen" w:cs="Sylfaen"/>
          <w:lang w:val="ka-GE" w:eastAsia="ka-GE"/>
        </w:rPr>
        <w:t>).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ციფრისა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უტილიზაციის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უტილიზაცია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უტილიზაციას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445)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იანვრიდა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position w:val="6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position w:val="6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5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უტილიზაციის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  <w:t>1.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უტილიზაციის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უტილიზაციისათვის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სახურებისათვის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ascii="Sylfaen" w:hAnsi="Sylfaen" w:cs="Sylfaen"/>
          <w:position w:val="12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განაკვეთები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5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5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უტილიზაციისათვის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ascii="Sylfaen" w:hAnsi="Sylfaen" w:cs="Sylfaen"/>
          <w:position w:val="12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უტილიზაციისათვის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განაკვეთები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  <w:t>1.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5000 </w:t>
      </w:r>
      <w:r>
        <w:rPr>
          <w:rFonts w:ascii="Sylfaen" w:eastAsia="Times New Roman" w:hAnsi="Sylfaen" w:cs="Sylfaen"/>
          <w:lang w:val="en-US"/>
        </w:rPr>
        <w:t>ცალი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უტილიზაციის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შეტანიდან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უტილიზაციისათვის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150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ascii="Sylfaen" w:hAnsi="Sylfaen" w:cs="Sylfaen"/>
          <w:position w:val="12"/>
          <w:lang w:val="en-US"/>
        </w:rPr>
        <w:t>5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მომსახურე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ascii="Sylfaen" w:hAnsi="Sylfaen" w:cs="Sylfaen"/>
          <w:position w:val="12"/>
          <w:lang w:val="en-US"/>
        </w:rPr>
        <w:t>6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გადახდილი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</w:t>
      </w:r>
      <w:r>
        <w:rPr>
          <w:rFonts w:ascii="Sylfaen" w:eastAsia="Times New Roman" w:hAnsi="Sylfaen" w:cs="Sylfaen"/>
          <w:lang w:val="en-US"/>
        </w:rPr>
        <w:t>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სააგენტომ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გასწია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დაინტერესებ</w:t>
      </w:r>
      <w:r>
        <w:rPr>
          <w:rFonts w:ascii="Sylfaen" w:eastAsia="Times New Roman" w:hAnsi="Sylfaen" w:cs="Sylfaen"/>
          <w:lang w:val="en-US"/>
        </w:rPr>
        <w:t>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უბრუნდება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გადახდილი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განცხადებას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6964)</w:t>
      </w:r>
    </w:p>
    <w:p w:rsidR="00000000" w:rsidRDefault="00B80FB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80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B80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II</w:t>
      </w:r>
      <w:r>
        <w:rPr>
          <w:rFonts w:ascii="Sylfaen" w:hAnsi="Sylfaen" w:cs="Sylfaen"/>
          <w:position w:val="12"/>
          <w:lang w:val="en-US"/>
        </w:rPr>
        <w:t>2</w:t>
      </w:r>
      <w:r>
        <w:rPr>
          <w:rFonts w:ascii="Sylfaen" w:hAnsi="Sylfaen" w:cs="Sylfaen"/>
          <w:position w:val="6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ascii="Sylfaen" w:hAnsi="Sylfaen" w:cs="Sylfaen"/>
          <w:position w:val="12"/>
          <w:lang w:val="en-US"/>
        </w:rPr>
        <w:t>8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2350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III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სამართალსუბიექტე</w:t>
      </w:r>
      <w:r>
        <w:rPr>
          <w:rFonts w:ascii="Sylfaen" w:eastAsia="Times New Roman" w:hAnsi="Sylfaen" w:cs="Sylfaen"/>
          <w:lang w:val="en-US"/>
        </w:rPr>
        <w:t>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4 </w:t>
      </w:r>
      <w:r>
        <w:rPr>
          <w:rFonts w:ascii="Sylfaen" w:eastAsia="Times New Roman" w:hAnsi="Sylfaen" w:cs="Sylfaen"/>
          <w:lang w:val="en-US"/>
        </w:rPr>
        <w:t>თვეში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გამოსაყენებელი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გასაუქმებელი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ივლისიდან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ჩაითვალოს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2000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26 </w:t>
      </w:r>
      <w:r>
        <w:rPr>
          <w:rFonts w:ascii="Sylfaen" w:eastAsia="Times New Roman" w:hAnsi="Sylfaen" w:cs="Sylfaen"/>
          <w:lang w:val="en-US"/>
        </w:rPr>
        <w:t>ივლისის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321 </w:t>
      </w:r>
      <w:r>
        <w:rPr>
          <w:rFonts w:ascii="Sylfaen" w:eastAsia="Times New Roman" w:hAnsi="Sylfaen" w:cs="Sylfaen"/>
          <w:lang w:val="en-US"/>
        </w:rPr>
        <w:t>ბრძანებულება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ანგარიშგები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დამზადების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დამყარების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“; 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1999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სექტემბრის</w:t>
      </w:r>
      <w:r>
        <w:rPr>
          <w:rFonts w:ascii="Sylfaen" w:eastAsia="Times New Roman" w:hAnsi="Sylfaen" w:cs="Sylfaen"/>
          <w:lang w:val="en-US"/>
        </w:rPr>
        <w:t xml:space="preserve"> №</w:t>
      </w:r>
      <w:r>
        <w:rPr>
          <w:rFonts w:ascii="Sylfaen" w:hAnsi="Sylfaen" w:cs="Sylfaen"/>
          <w:lang w:val="en-US"/>
        </w:rPr>
        <w:t xml:space="preserve">1079 </w:t>
      </w:r>
      <w:r>
        <w:rPr>
          <w:rFonts w:ascii="Sylfaen" w:eastAsia="Times New Roman" w:hAnsi="Sylfaen" w:cs="Sylfaen"/>
          <w:lang w:val="en-US"/>
        </w:rPr>
        <w:t>განკარგულება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ბილეთების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დამზადების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ზოგიერთი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“; 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2000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24 </w:t>
      </w:r>
      <w:r>
        <w:rPr>
          <w:rFonts w:ascii="Sylfaen" w:eastAsia="Times New Roman" w:hAnsi="Sylfaen" w:cs="Sylfaen"/>
          <w:lang w:val="en-US"/>
        </w:rPr>
        <w:t>აპრილის</w:t>
      </w:r>
      <w:r>
        <w:rPr>
          <w:rFonts w:ascii="Sylfaen" w:eastAsia="Times New Roman" w:hAnsi="Sylfaen" w:cs="Sylfaen"/>
          <w:lang w:val="en-US"/>
        </w:rPr>
        <w:t xml:space="preserve"> №</w:t>
      </w:r>
      <w:r>
        <w:rPr>
          <w:rFonts w:ascii="Sylfaen" w:hAnsi="Sylfaen" w:cs="Sylfaen"/>
          <w:lang w:val="en-US"/>
        </w:rPr>
        <w:t xml:space="preserve">50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მიხეილ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სააკაშვილი</w:t>
      </w:r>
    </w:p>
    <w:p w:rsidR="00000000" w:rsidRDefault="00B80F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B80F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B80F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22 </w:t>
      </w:r>
      <w:r>
        <w:rPr>
          <w:rFonts w:ascii="Sylfaen" w:eastAsia="Times New Roman" w:hAnsi="Sylfaen" w:cs="Sylfaen"/>
          <w:lang w:val="en-US"/>
        </w:rPr>
        <w:t>მარტი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80FB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1134 - I</w:t>
      </w:r>
      <w:r>
        <w:rPr>
          <w:rFonts w:ascii="Sylfaen" w:eastAsia="Times New Roman" w:hAnsi="Sylfaen" w:cs="Sylfaen"/>
          <w:lang w:val="en-US"/>
        </w:rPr>
        <w:t>ს</w:t>
      </w:r>
    </w:p>
    <w:p w:rsidR="00000000" w:rsidRDefault="00B80F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0FBA"/>
    <w:rsid w:val="00B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ind w:left="720"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center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2507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