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2730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16DD3F9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40DC8381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კონტრდაზვერვითი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66ADBFEE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lang w:val="en-US"/>
        </w:rPr>
      </w:pPr>
    </w:p>
    <w:p w14:paraId="32A90606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I.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14:paraId="1958D1A0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14:paraId="7F6E9880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0DD5B3D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ტერორისტული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7020D00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04B98AAD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54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კანონშ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14:paraId="5D09C1DF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54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14:paraId="5A5F7C9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არასამართალდაცვითი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</w:t>
      </w:r>
      <w:r>
        <w:rPr>
          <w:rFonts w:ascii="Sylfaen" w:eastAsia="Times New Roman" w:hAnsi="Sylfaen" w:cs="Sylfaen"/>
          <w:lang w:val="en-US"/>
        </w:rPr>
        <w:t>ქნიკური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ტერორისტული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გამოსავლენად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ასაცილებლად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C3BEBB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კონტრდაზვერვით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ტერორისტ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;  </w:t>
      </w:r>
    </w:p>
    <w:p w14:paraId="41CDFE01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</w:t>
      </w:r>
      <w:r>
        <w:rPr>
          <w:rFonts w:ascii="Sylfaen" w:eastAsia="Times New Roman" w:hAnsi="Sylfaen" w:cs="Sylfaen"/>
          <w:lang w:val="en-US"/>
        </w:rPr>
        <w:t>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ტერორისტული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6964D40" w14:textId="77777777" w:rsidR="00000000" w:rsidRDefault="001668E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>;</w:t>
      </w:r>
    </w:p>
    <w:p w14:paraId="1F1E3E68" w14:textId="77777777" w:rsidR="00000000" w:rsidRDefault="001668EC">
      <w:pPr>
        <w:pStyle w:val="Normal0"/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ტერორისტულ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64CF16C" w14:textId="77777777" w:rsidR="00000000" w:rsidRDefault="001668E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კონტრდაზვერვით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;</w:t>
      </w:r>
    </w:p>
    <w:p w14:paraId="30D6ADAD" w14:textId="77777777" w:rsidR="00000000" w:rsidRDefault="001668E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6D19FD6" w14:textId="77777777" w:rsidR="00000000" w:rsidRDefault="001668E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</w:t>
      </w:r>
      <w:r>
        <w:rPr>
          <w:rFonts w:ascii="Sylfaen" w:eastAsia="Times New Roman" w:hAnsi="Sylfaen" w:cs="Sylfaen"/>
          <w:lang w:val="en-US"/>
        </w:rPr>
        <w:t>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>:</w:t>
      </w:r>
    </w:p>
    <w:p w14:paraId="22EDB45A" w14:textId="77777777" w:rsidR="00000000" w:rsidRDefault="001668EC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>;</w:t>
      </w:r>
    </w:p>
    <w:p w14:paraId="142CB1D8" w14:textId="77777777" w:rsidR="00000000" w:rsidRDefault="001668EC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1AF7A7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ტერორისტული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პერატიულ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სისტემატიზებული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კონცენტრირებულია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3F92C20" w14:textId="77777777" w:rsidR="00000000" w:rsidRDefault="001668EC">
      <w:pPr>
        <w:pStyle w:val="Normal0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:    </w:t>
      </w:r>
    </w:p>
    <w:p w14:paraId="591E90C1" w14:textId="77777777" w:rsidR="00000000" w:rsidRDefault="001668EC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4A420BF" w14:textId="77777777" w:rsidR="00000000" w:rsidRDefault="001668EC">
      <w:pPr>
        <w:pStyle w:val="Normal0"/>
        <w:tabs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>;</w:t>
      </w:r>
    </w:p>
    <w:p w14:paraId="2788F0B1" w14:textId="77777777" w:rsidR="00000000" w:rsidRDefault="001668E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>;</w:t>
      </w:r>
    </w:p>
    <w:p w14:paraId="4B867DB5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</w:t>
      </w:r>
      <w:r>
        <w:rPr>
          <w:rFonts w:ascii="Sylfaen" w:eastAsia="Times New Roman" w:hAnsi="Sylfaen" w:cs="Sylfaen"/>
          <w:lang w:val="en-US"/>
        </w:rPr>
        <w:t>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>;</w:t>
      </w:r>
    </w:p>
    <w:p w14:paraId="01916691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2188C0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შეთანხმებული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თვალთვალი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თვალთვალი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სატელეფონო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>.</w:t>
      </w:r>
    </w:p>
    <w:p w14:paraId="42C11A6D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</w:t>
      </w:r>
      <w:r>
        <w:rPr>
          <w:rFonts w:ascii="Sylfaen" w:eastAsia="Times New Roman" w:hAnsi="Sylfaen" w:cs="Sylfaen"/>
          <w:lang w:val="ka-GE" w:eastAsia="ka-GE"/>
        </w:rPr>
        <w:t>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051F8EC9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№477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6B55790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</w:t>
      </w:r>
      <w:r>
        <w:rPr>
          <w:rFonts w:ascii="Sylfaen" w:eastAsia="Times New Roman" w:hAnsi="Sylfaen" w:cs="Sylfaen"/>
          <w:lang w:val="ka-GE" w:eastAsia="ka-GE"/>
        </w:rPr>
        <w:t>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5ECFF0A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000E04D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(22.0</w:t>
      </w:r>
      <w:r>
        <w:rPr>
          <w:rFonts w:ascii="Sylfaen" w:hAnsi="Sylfaen" w:cs="Sylfaen"/>
          <w:sz w:val="20"/>
          <w:szCs w:val="20"/>
          <w:lang w:eastAsia="x-none"/>
        </w:rPr>
        <w:t xml:space="preserve">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CA9B041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</w:t>
      </w:r>
      <w:r>
        <w:rPr>
          <w:rFonts w:ascii="Sylfaen" w:eastAsia="Times New Roman" w:hAnsi="Sylfaen" w:cs="Sylfaen"/>
          <w:lang w:val="ka-GE" w:eastAsia="ka-GE"/>
        </w:rPr>
        <w:t>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4DB95FE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 xml:space="preserve">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715E5C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</w:t>
      </w:r>
      <w:r>
        <w:rPr>
          <w:rFonts w:ascii="Sylfaen" w:eastAsia="Times New Roman" w:hAnsi="Sylfaen" w:cs="Sylfaen"/>
          <w:lang w:val="ka-GE" w:eastAsia="ka-GE"/>
        </w:rPr>
        <w:t>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E1DA99D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300B218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</w:t>
      </w:r>
      <w:r>
        <w:rPr>
          <w:rFonts w:ascii="Sylfaen" w:eastAsia="Times New Roman" w:hAnsi="Sylfaen" w:cs="Sylfaen"/>
          <w:lang w:val="ka-GE" w:eastAsia="ka-GE"/>
        </w:rPr>
        <w:t>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0CBD1631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D09169D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</w:t>
      </w:r>
      <w:r>
        <w:rPr>
          <w:rFonts w:ascii="Sylfaen" w:eastAsia="Times New Roman" w:hAnsi="Sylfaen" w:cs="Sylfaen"/>
          <w:lang w:val="ka-GE" w:eastAsia="ka-GE"/>
        </w:rPr>
        <w:t>დენტიფიცირებელ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>22.03.2017.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0B56371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</w:t>
      </w:r>
      <w:r>
        <w:rPr>
          <w:rFonts w:ascii="Sylfaen" w:eastAsia="Times New Roman" w:hAnsi="Sylfaen" w:cs="Sylfaen"/>
          <w:lang w:val="ka-GE" w:eastAsia="ka-GE"/>
        </w:rPr>
        <w:t>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9B4E128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</w:p>
    <w:p w14:paraId="2B2EA628" w14:textId="77777777" w:rsidR="00000000" w:rsidRDefault="001668EC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 w:hanging="1506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 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</w:t>
      </w:r>
      <w:r>
        <w:rPr>
          <w:rFonts w:ascii="Sylfaen" w:eastAsia="Times New Roman" w:hAnsi="Sylfaen" w:cs="Sylfaen"/>
          <w:lang w:val="en-US"/>
        </w:rPr>
        <w:t xml:space="preserve">   </w:t>
      </w:r>
    </w:p>
    <w:p w14:paraId="37A9124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</w:t>
      </w:r>
      <w:r>
        <w:rPr>
          <w:rFonts w:ascii="Sylfaen" w:eastAsia="Times New Roman" w:hAnsi="Sylfaen" w:cs="Sylfaen"/>
          <w:lang w:val="en-US"/>
        </w:rPr>
        <w:t>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>:</w:t>
      </w:r>
    </w:p>
    <w:p w14:paraId="6C2F7ED7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ტერორისტული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ანალიტიკური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>;</w:t>
      </w:r>
    </w:p>
    <w:p w14:paraId="7521F5C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ტერორისტული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</w:t>
      </w:r>
      <w:r>
        <w:rPr>
          <w:rFonts w:ascii="Sylfaen" w:eastAsia="Times New Roman" w:hAnsi="Sylfaen" w:cs="Sylfaen"/>
          <w:lang w:val="en-US"/>
        </w:rPr>
        <w:t>რციელებასთან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</w:t>
      </w:r>
      <w:r>
        <w:rPr>
          <w:rFonts w:ascii="Sylfaen" w:eastAsia="Times New Roman" w:hAnsi="Sylfaen" w:cs="Sylfaen"/>
          <w:lang w:val="en-US"/>
        </w:rPr>
        <w:t>.</w:t>
      </w:r>
    </w:p>
    <w:p w14:paraId="32DE3D31" w14:textId="77777777" w:rsidR="00000000" w:rsidRDefault="001668EC">
      <w:pPr>
        <w:pStyle w:val="Normal0"/>
        <w:tabs>
          <w:tab w:val="left" w:pos="207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2071" w:hanging="1526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12DE4450" w14:textId="77777777" w:rsidR="00000000" w:rsidRDefault="001668EC">
      <w:pPr>
        <w:pStyle w:val="Normal0"/>
        <w:tabs>
          <w:tab w:val="left" w:pos="720"/>
          <w:tab w:val="left" w:pos="207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2071" w:hanging="1526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3EF7DC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>.</w:t>
      </w:r>
    </w:p>
    <w:p w14:paraId="45B9883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79ABC473" w14:textId="77777777" w:rsidR="00000000" w:rsidRDefault="001668EC">
      <w:pPr>
        <w:pStyle w:val="Normal0"/>
        <w:tabs>
          <w:tab w:val="left" w:pos="207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2071" w:hanging="13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D9C767F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პრინციპებია</w:t>
      </w:r>
      <w:r>
        <w:rPr>
          <w:rFonts w:ascii="Sylfaen" w:eastAsia="Times New Roman" w:hAnsi="Sylfaen" w:cs="Sylfaen"/>
          <w:lang w:val="en-US"/>
        </w:rPr>
        <w:t>:</w:t>
      </w:r>
    </w:p>
    <w:p w14:paraId="067AD6C2" w14:textId="77777777" w:rsidR="00000000" w:rsidRDefault="001668EC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კანონიერება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18D842E" w14:textId="77777777" w:rsidR="00000000" w:rsidRDefault="001668EC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</w:t>
      </w:r>
      <w:r>
        <w:rPr>
          <w:rFonts w:ascii="Sylfaen" w:eastAsia="Times New Roman" w:hAnsi="Sylfaen" w:cs="Sylfaen"/>
          <w:lang w:val="en-US"/>
        </w:rPr>
        <w:t>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განუხრელი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პატივისცემა</w:t>
      </w:r>
      <w:r>
        <w:rPr>
          <w:rFonts w:ascii="Sylfaen" w:eastAsia="Times New Roman" w:hAnsi="Sylfaen" w:cs="Sylfaen"/>
          <w:lang w:val="en-US"/>
        </w:rPr>
        <w:t xml:space="preserve">;        </w:t>
      </w:r>
    </w:p>
    <w:p w14:paraId="1D1498ED" w14:textId="77777777" w:rsidR="00000000" w:rsidRDefault="001668EC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კონსპირაციის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A3B8920" w14:textId="77777777" w:rsidR="00000000" w:rsidRDefault="001668EC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ერთიანობა</w:t>
      </w:r>
      <w:r>
        <w:rPr>
          <w:rFonts w:ascii="Sylfaen" w:eastAsia="Times New Roman" w:hAnsi="Sylfaen" w:cs="Sylfaen"/>
          <w:lang w:val="en-US"/>
        </w:rPr>
        <w:t>.</w:t>
      </w:r>
    </w:p>
    <w:p w14:paraId="19085FFA" w14:textId="77777777" w:rsidR="00000000" w:rsidRDefault="001668EC">
      <w:pPr>
        <w:pStyle w:val="Normal0"/>
        <w:tabs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</w:t>
      </w:r>
      <w:r>
        <w:rPr>
          <w:rFonts w:ascii="Sylfaen" w:eastAsia="Times New Roman" w:hAnsi="Sylfaen" w:cs="Sylfaen"/>
          <w:lang w:val="en-US"/>
        </w:rPr>
        <w:t>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ტერორისტულ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156BB01" w14:textId="77777777" w:rsidR="00000000" w:rsidRDefault="001668EC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№477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14:paraId="2751169E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6CDD6B9C" w14:textId="77777777" w:rsidR="00000000" w:rsidRDefault="001668EC">
      <w:pPr>
        <w:pStyle w:val="Normal0"/>
        <w:tabs>
          <w:tab w:val="left" w:pos="207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2071" w:hanging="135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საჯაროობა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5763311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გასაიდუმლოებულია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ამსახველი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საიდუმლოებას</w:t>
      </w:r>
      <w:r>
        <w:rPr>
          <w:rFonts w:ascii="Sylfaen" w:eastAsia="Times New Roman" w:hAnsi="Sylfaen" w:cs="Sylfaen"/>
          <w:lang w:val="en-US"/>
        </w:rPr>
        <w:t>.</w:t>
      </w:r>
    </w:p>
    <w:p w14:paraId="2291BC2A" w14:textId="77777777" w:rsidR="00000000" w:rsidRDefault="001668EC">
      <w:pPr>
        <w:pStyle w:val="Normal0"/>
        <w:tabs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BEC5872" w14:textId="77777777" w:rsidR="00000000" w:rsidRDefault="001668EC">
      <w:pPr>
        <w:pStyle w:val="Normal0"/>
        <w:tabs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კონტრდაზვერვით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4509E84D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II.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</w:p>
    <w:p w14:paraId="2821B87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30AEE661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0C8EAB5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</w:t>
      </w:r>
    </w:p>
    <w:p w14:paraId="76E108ED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 </w:t>
      </w:r>
      <w:r>
        <w:rPr>
          <w:rFonts w:ascii="Sylfaen" w:eastAsia="Times New Roman" w:hAnsi="Sylfaen" w:cs="Sylfaen"/>
          <w:lang w:val="en-US"/>
        </w:rPr>
        <w:t>კონტრდაზვერვით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</w:t>
      </w:r>
      <w:r>
        <w:rPr>
          <w:rFonts w:ascii="Sylfaen" w:eastAsia="Times New Roman" w:hAnsi="Sylfaen" w:cs="Sylfaen"/>
          <w:lang w:val="en-US"/>
        </w:rPr>
        <w:t>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22070DF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კონტრდაზვერვითი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</w:t>
      </w:r>
      <w:r>
        <w:rPr>
          <w:rFonts w:ascii="Sylfaen" w:eastAsia="Times New Roman" w:hAnsi="Sylfaen" w:cs="Sylfaen"/>
          <w:lang w:eastAsia="x-none"/>
        </w:rPr>
        <w:t>ნტს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3935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196EFC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   </w:t>
      </w: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მაკოორდინირებელ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ინტერესებთან</w:t>
      </w:r>
      <w:r>
        <w:rPr>
          <w:rFonts w:ascii="Sylfaen" w:eastAsia="Times New Roman" w:hAnsi="Sylfaen" w:cs="Sylfaen"/>
          <w:lang w:val="en-US"/>
        </w:rPr>
        <w:t>.</w:t>
      </w:r>
    </w:p>
    <w:p w14:paraId="3678A9A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1158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E119D7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კონტრდაზვერვითი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>;</w:t>
      </w:r>
    </w:p>
    <w:p w14:paraId="14D3061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კონტრდაზვერვითი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9CB594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14:paraId="5CEEF530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</w:t>
      </w:r>
    </w:p>
    <w:p w14:paraId="5641072E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>.</w:t>
      </w:r>
    </w:p>
    <w:p w14:paraId="17BD5A4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>:</w:t>
      </w:r>
    </w:p>
    <w:p w14:paraId="563C7B0E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</w:t>
      </w:r>
      <w:r>
        <w:rPr>
          <w:rFonts w:ascii="Sylfaen" w:eastAsia="Times New Roman" w:hAnsi="Sylfaen" w:cs="Sylfaen"/>
          <w:lang w:val="en-US"/>
        </w:rPr>
        <w:t>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6949A33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განუხრელად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სცენ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ღირსებას</w:t>
      </w:r>
      <w:r>
        <w:rPr>
          <w:rFonts w:ascii="Sylfaen" w:eastAsia="Times New Roman" w:hAnsi="Sylfaen" w:cs="Sylfaen"/>
          <w:lang w:val="en-US"/>
        </w:rPr>
        <w:t>;</w:t>
      </w:r>
    </w:p>
    <w:p w14:paraId="4906B09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კონსპირაციის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>.</w:t>
      </w:r>
    </w:p>
    <w:p w14:paraId="20B0B11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>:</w:t>
      </w:r>
    </w:p>
    <w:p w14:paraId="3586E0AD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ღიად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ჩაატარონ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>;</w:t>
      </w:r>
    </w:p>
    <w:p w14:paraId="12662976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უსასყიდლოდ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სასყიდლით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დაამყარონ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კონფიდენციალურ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</w:t>
      </w:r>
      <w:r>
        <w:rPr>
          <w:rFonts w:ascii="Sylfaen" w:eastAsia="Times New Roman" w:hAnsi="Sylfaen" w:cs="Sylfaen"/>
          <w:lang w:val="en-US"/>
        </w:rPr>
        <w:t>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სამსახურებს</w:t>
      </w:r>
      <w:r>
        <w:rPr>
          <w:rFonts w:ascii="Sylfaen" w:eastAsia="Times New Roman" w:hAnsi="Sylfaen" w:cs="Sylfaen"/>
          <w:lang w:val="en-US"/>
        </w:rPr>
        <w:t>;</w:t>
      </w:r>
    </w:p>
    <w:p w14:paraId="74515AD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შექმნან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>;</w:t>
      </w:r>
    </w:p>
    <w:p w14:paraId="70162B0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ზეპ</w:t>
      </w:r>
      <w:r>
        <w:rPr>
          <w:rFonts w:ascii="Sylfaen" w:eastAsia="Times New Roman" w:hAnsi="Sylfaen" w:cs="Sylfaen"/>
          <w:lang w:val="en-US"/>
        </w:rPr>
        <w:t>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დაწესებულებათა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ორგანიზაციათა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სასამსახურო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>;</w:t>
      </w:r>
    </w:p>
    <w:p w14:paraId="1D7D14B1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კონსპირაციის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</w:t>
      </w:r>
      <w:r>
        <w:rPr>
          <w:rFonts w:ascii="Sylfaen" w:eastAsia="Times New Roman" w:hAnsi="Sylfaen" w:cs="Sylfaen"/>
          <w:lang w:val="en-US"/>
        </w:rPr>
        <w:t>კუმენტები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შენიღბულია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დანაყოფების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კონფიდენციალურ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</w:t>
      </w:r>
      <w:r>
        <w:rPr>
          <w:rFonts w:ascii="Sylfaen" w:eastAsia="Times New Roman" w:hAnsi="Sylfaen" w:cs="Sylfaen"/>
          <w:lang w:val="en-US"/>
        </w:rPr>
        <w:t>ძველზე</w:t>
      </w:r>
      <w:r>
        <w:rPr>
          <w:rFonts w:ascii="Sylfaen" w:eastAsia="Times New Roman" w:hAnsi="Sylfaen" w:cs="Sylfaen"/>
          <w:lang w:val="en-US"/>
        </w:rPr>
        <w:t>.</w:t>
      </w:r>
    </w:p>
    <w:p w14:paraId="628F94D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394E652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F8A9F7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ღონისძიებები</w:t>
      </w:r>
    </w:p>
    <w:p w14:paraId="5413A6F0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0F82CD1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ტერორისტული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BDC096C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ტერორისტული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3623040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8E1F40C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აუდიოჩაწერა</w:t>
      </w:r>
      <w:r>
        <w:rPr>
          <w:rFonts w:ascii="Sylfaen" w:eastAsia="Times New Roman" w:hAnsi="Sylfaen" w:cs="Sylfaen"/>
          <w:lang w:val="en-US"/>
        </w:rPr>
        <w:t>;</w:t>
      </w:r>
    </w:p>
    <w:p w14:paraId="1F5C404F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კინო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ფოტოგადაღება</w:t>
      </w:r>
      <w:r>
        <w:rPr>
          <w:rFonts w:ascii="Sylfaen" w:eastAsia="Times New Roman" w:hAnsi="Sylfaen" w:cs="Sylfaen"/>
          <w:lang w:val="en-US"/>
        </w:rPr>
        <w:t>;</w:t>
      </w:r>
    </w:p>
    <w:p w14:paraId="311BE945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სატელევიზიო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კამერების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6D0DC5A" w14:textId="77777777" w:rsidR="00000000" w:rsidRDefault="001668EC">
      <w:pPr>
        <w:pStyle w:val="Normal0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თვალთვალი</w:t>
      </w:r>
      <w:r>
        <w:rPr>
          <w:rFonts w:ascii="Sylfaen" w:eastAsia="Times New Roman" w:hAnsi="Sylfaen" w:cs="Sylfaen"/>
          <w:lang w:val="en-US"/>
        </w:rPr>
        <w:t>;</w:t>
      </w:r>
    </w:p>
    <w:p w14:paraId="65A22BD4" w14:textId="77777777" w:rsidR="00000000" w:rsidRDefault="001668EC">
      <w:pPr>
        <w:pStyle w:val="Normal0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საფოსტო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კორესპონდენციის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>.</w:t>
      </w:r>
    </w:p>
    <w:p w14:paraId="19785AA1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9399A9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1EBA2D6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</w:t>
      </w:r>
      <w:r>
        <w:rPr>
          <w:rFonts w:ascii="Sylfaen" w:eastAsia="Times New Roman" w:hAnsi="Sylfaen" w:cs="Sylfaen"/>
          <w:lang w:val="ka-GE" w:eastAsia="ka-GE"/>
        </w:rPr>
        <w:t>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 xml:space="preserve">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7D2D6BD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მიყურადება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</w:t>
      </w:r>
    </w:p>
    <w:p w14:paraId="6E84F92F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</w:t>
      </w:r>
      <w:r>
        <w:rPr>
          <w:rFonts w:ascii="Sylfaen" w:eastAsia="Times New Roman" w:hAnsi="Sylfaen" w:cs="Sylfaen"/>
          <w:lang w:val="ka-GE" w:eastAsia="ka-GE"/>
        </w:rPr>
        <w:t>იკაციებთან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სასადგურე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ინსტალაცია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E5868E5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(22.03.201</w:t>
      </w:r>
      <w:r>
        <w:rPr>
          <w:rFonts w:ascii="Sylfaen" w:hAnsi="Sylfaen" w:cs="Sylfaen"/>
          <w:sz w:val="20"/>
          <w:szCs w:val="20"/>
          <w:lang w:eastAsia="x-none"/>
        </w:rPr>
        <w:t xml:space="preserve">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0BD1DE4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23081AF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9EBBF7C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</w:p>
    <w:p w14:paraId="141DD8A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საფუძვლებია</w:t>
      </w:r>
      <w:r>
        <w:rPr>
          <w:rFonts w:ascii="Sylfaen" w:eastAsia="Times New Roman" w:hAnsi="Sylfaen" w:cs="Sylfaen"/>
          <w:lang w:val="en-US"/>
        </w:rPr>
        <w:t>:</w:t>
      </w:r>
    </w:p>
    <w:p w14:paraId="580C777F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</w:t>
      </w:r>
      <w:r>
        <w:rPr>
          <w:rFonts w:ascii="Sylfaen" w:eastAsia="Times New Roman" w:hAnsi="Sylfaen" w:cs="Sylfaen"/>
          <w:lang w:val="en-US"/>
        </w:rPr>
        <w:t>ნების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151294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ტერორისტულ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ვარაუდისათვის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1A8DF48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მიუთითებს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ავშირზე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სადაზვერვო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ტერორისტულ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68AB561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225D3D7B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III.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</w:p>
    <w:p w14:paraId="6E0C5918" w14:textId="77777777" w:rsidR="00000000" w:rsidRDefault="001668EC">
      <w:pPr>
        <w:pStyle w:val="Normal0"/>
        <w:tabs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962" w:hanging="1602"/>
        <w:jc w:val="both"/>
        <w:rPr>
          <w:rFonts w:ascii="Sylfaen" w:eastAsia="Times New Roman" w:hAnsi="Sylfaen" w:cs="Sylfaen"/>
          <w:lang w:val="en-US"/>
        </w:rPr>
      </w:pPr>
    </w:p>
    <w:p w14:paraId="6AC2DD8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0B8C4B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B60011D" w14:textId="77777777" w:rsidR="00000000" w:rsidRDefault="001668E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სქესისა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თანამდებობრივი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წევრობისა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რელიგიური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აღმსარებლობისა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მრწამსისა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შესაძლოა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>.</w:t>
      </w:r>
    </w:p>
    <w:p w14:paraId="0D17A4CF" w14:textId="77777777" w:rsidR="00000000" w:rsidRDefault="001668E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კონტრდაზვერვითი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F1A428F" w14:textId="77777777" w:rsidR="00000000" w:rsidRDefault="001668E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14:paraId="0D784BFB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5B07A277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</w:t>
      </w:r>
      <w:r>
        <w:rPr>
          <w:rFonts w:ascii="Sylfaen" w:eastAsia="Times New Roman" w:hAnsi="Sylfaen" w:cs="Sylfaen"/>
          <w:lang w:val="ka-GE" w:eastAsia="ka-GE"/>
        </w:rPr>
        <w:t>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</w:p>
    <w:p w14:paraId="4EF0979B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EF4F01E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</w:t>
      </w:r>
      <w:r>
        <w:rPr>
          <w:rFonts w:ascii="Sylfaen" w:eastAsia="Times New Roman" w:hAnsi="Sylfaen" w:cs="Sylfaen"/>
          <w:lang w:val="ka-GE" w:eastAsia="ka-GE"/>
        </w:rPr>
        <w:t>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ACB4C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</w:t>
      </w:r>
      <w:r>
        <w:rPr>
          <w:rFonts w:ascii="Sylfaen" w:eastAsia="Times New Roman" w:hAnsi="Sylfaen" w:cs="Sylfaen"/>
          <w:lang w:val="ka-GE" w:eastAsia="ka-GE"/>
        </w:rPr>
        <w:t>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DA0C05E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B0089D9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EB53069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ეტალურ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იდენტიფიცირებაა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280EF92C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იდენტიფიკატორების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14:paraId="6179DC55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1B06906F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</w:p>
    <w:p w14:paraId="65DFA6D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ab/>
      </w:r>
    </w:p>
    <w:p w14:paraId="5010B955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CA2DE4D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F370370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C8BED3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14:paraId="1F18A88F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მოსამართლეს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გადასაწყვეტად</w:t>
      </w:r>
      <w:r>
        <w:rPr>
          <w:rFonts w:ascii="Sylfaen" w:eastAsia="Times New Roman" w:hAnsi="Sylfaen" w:cs="Sylfaen"/>
          <w:lang w:val="en-US"/>
        </w:rPr>
        <w:t>.</w:t>
      </w:r>
    </w:p>
    <w:p w14:paraId="10072B60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თვალთვალი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მისაღწევად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90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>.</w:t>
      </w:r>
    </w:p>
    <w:p w14:paraId="7E17C8E7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90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მოტივირებული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შუამდგომლობის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თითოეულ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ჯერზე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ascii="Sylfaen" w:eastAsia="Times New Roman" w:hAnsi="Sylfaen" w:cs="Sylfaen"/>
          <w:lang w:val="en-US"/>
        </w:rPr>
        <w:t xml:space="preserve">2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1834D9C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5545581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ელექტრონუ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თვალთვალის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შუამდგომლობა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050BB39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შედგენი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42B703F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7DE1FF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3553EDE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FDB3AFE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იდენტიფიცირებაა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48730E52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იდენტიფიკატორების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0F936EF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BD2BD0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B46C539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08E810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BB64CF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173F79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EB02D6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9.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65D8AB9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443B0C74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859A71E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26CEFB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35BDD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C19476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</w:t>
      </w:r>
      <w:r>
        <w:rPr>
          <w:rFonts w:ascii="Sylfaen" w:eastAsia="Times New Roman" w:hAnsi="Sylfaen" w:cs="Sylfaen"/>
          <w:lang w:val="ka-GE" w:eastAsia="ka-GE"/>
        </w:rPr>
        <w:t>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ანადგურებს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69504D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3A8738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C6242BD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0A72CDE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71232D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75F7014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35B9D57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CAFBF8F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D54D08E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29D197F3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BF203D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დახარისხდეს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გაანადგუროს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დახარისხების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744B1A2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5F55C9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16AFA3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00E66CD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338A9752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hd w:val="clear" w:color="auto" w:fill="FFFF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</w:t>
      </w:r>
      <w:r>
        <w:rPr>
          <w:rFonts w:ascii="Sylfaen" w:eastAsia="Times New Roman" w:hAnsi="Sylfaen" w:cs="Sylfaen"/>
          <w:lang w:val="ka-GE" w:eastAsia="ka-GE"/>
        </w:rPr>
        <w:t>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ანადგურებს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6DBFE40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B5D8CF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</w:t>
      </w:r>
      <w:r>
        <w:rPr>
          <w:rFonts w:ascii="Sylfaen" w:eastAsia="Times New Roman" w:hAnsi="Sylfaen" w:cs="Sylfaen"/>
          <w:lang w:val="ka-GE" w:eastAsia="ka-GE"/>
        </w:rPr>
        <w:t>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B4B44D4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</w:t>
      </w:r>
      <w:r>
        <w:rPr>
          <w:rFonts w:ascii="Sylfaen" w:eastAsia="Times New Roman" w:hAnsi="Sylfaen" w:cs="Sylfaen"/>
          <w:lang w:val="ka-GE" w:eastAsia="ka-GE"/>
        </w:rPr>
        <w:t>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119C6BB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8DDC25F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767D65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B55F17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30DAF33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F071A0F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5E7F85D1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5D3D90FE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DF059F6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შესრულდა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B7E53F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</w:t>
      </w:r>
      <w:r>
        <w:rPr>
          <w:rFonts w:ascii="Sylfaen" w:eastAsia="Times New Roman" w:hAnsi="Sylfaen" w:cs="Sylfaen"/>
          <w:lang w:val="ka-GE" w:eastAsia="ka-GE"/>
        </w:rPr>
        <w:t>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E2622D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DD2C57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FAF732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EA2118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</w:t>
      </w:r>
      <w:r>
        <w:rPr>
          <w:rFonts w:ascii="Sylfaen" w:eastAsia="Times New Roman" w:hAnsi="Sylfaen" w:cs="Sylfaen"/>
          <w:lang w:val="ka-GE" w:eastAsia="ka-GE"/>
        </w:rPr>
        <w:t>ართლემ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A0446B8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4119F91B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7648BE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იდენტიფიკატორი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იდენტიფიკატორები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0D162E4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CB6B57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E1D06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030414A6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</w:t>
      </w:r>
      <w:r>
        <w:rPr>
          <w:rFonts w:ascii="Sylfaen" w:eastAsia="Times New Roman" w:hAnsi="Sylfaen" w:cs="Sylfaen"/>
          <w:lang w:val="ka-GE" w:eastAsia="ka-GE"/>
        </w:rPr>
        <w:t>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E98DE00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59897A98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</w:t>
      </w:r>
      <w:r>
        <w:rPr>
          <w:rFonts w:ascii="Sylfaen" w:eastAsia="Times New Roman" w:hAnsi="Sylfaen" w:cs="Sylfaen"/>
          <w:lang w:val="ka-GE" w:eastAsia="ka-GE"/>
        </w:rPr>
        <w:t>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მიღებ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310CD6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ელექტრონ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6C62BA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B84C10A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EEE78A5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D972DE0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C7E5B6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C429D9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861C30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F41350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95AE8A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855D31A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№477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F9066BC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1C20F6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3CD63C8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01DD2452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C71B62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</w:t>
      </w:r>
      <w:r>
        <w:rPr>
          <w:rFonts w:ascii="Sylfaen" w:eastAsia="Times New Roman" w:hAnsi="Sylfaen" w:cs="Sylfaen"/>
          <w:lang w:val="ka-GE" w:eastAsia="ka-GE"/>
        </w:rPr>
        <w:t>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0723DEB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9BE3D81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</w:t>
      </w:r>
      <w:r>
        <w:rPr>
          <w:rFonts w:ascii="Sylfaen" w:eastAsia="Times New Roman" w:hAnsi="Sylfaen" w:cs="Sylfaen"/>
          <w:lang w:val="ka-GE" w:eastAsia="ka-GE"/>
        </w:rPr>
        <w:t>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24A759A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D8E529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8041751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FFF66C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417A14A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9934D0E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2FFDC44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B1EFC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14:paraId="01494FD0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48784D9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E007212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24D782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A6C6E32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CCC3115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უწესრიგობის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</w:t>
      </w:r>
      <w:r>
        <w:rPr>
          <w:rFonts w:ascii="Sylfaen" w:eastAsia="Times New Roman" w:hAnsi="Sylfaen" w:cs="Sylfaen"/>
          <w:lang w:val="ka-GE" w:eastAsia="ka-GE"/>
        </w:rPr>
        <w:t>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83BFF4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გადასაცემ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ძალისხმევას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67DED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                                                                                                                   </w:t>
      </w:r>
    </w:p>
    <w:p w14:paraId="50DD9B5A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09DA815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</w:t>
      </w:r>
      <w:r>
        <w:rPr>
          <w:rFonts w:ascii="Sylfaen" w:eastAsia="Times New Roman" w:hAnsi="Sylfaen" w:cs="Sylfaen"/>
          <w:lang w:val="ka-GE" w:eastAsia="ka-GE"/>
        </w:rPr>
        <w:t>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46060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ანადგურებს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</w:t>
      </w:r>
      <w:r>
        <w:rPr>
          <w:rFonts w:ascii="Sylfaen" w:eastAsia="Times New Roman" w:hAnsi="Sylfaen" w:cs="Sylfaen"/>
          <w:lang w:val="ka-GE" w:eastAsia="ka-GE"/>
        </w:rPr>
        <w:t>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62BAB8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A2262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D9F2D18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E91B3A7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</w:t>
      </w:r>
      <w:r>
        <w:rPr>
          <w:rFonts w:ascii="Sylfaen" w:eastAsia="Times New Roman" w:hAnsi="Sylfaen" w:cs="Sylfaen"/>
          <w:lang w:val="ka-GE" w:eastAsia="ka-GE"/>
        </w:rPr>
        <w:t>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A607E0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დემოკრატიული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წყობილების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89001B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4D5DC96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B7C129F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1E35D71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5A847F4E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</w:t>
      </w:r>
      <w:r>
        <w:rPr>
          <w:rFonts w:ascii="Sylfaen" w:eastAsia="Times New Roman" w:hAnsi="Sylfaen" w:cs="Sylfaen"/>
          <w:lang w:val="ka-GE" w:eastAsia="ka-GE"/>
        </w:rPr>
        <w:t>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მოპოვებისკენ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14C99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85D801" w14:textId="77777777" w:rsidR="00000000" w:rsidRDefault="001668EC">
      <w:pPr>
        <w:pStyle w:val="Normal0"/>
        <w:tabs>
          <w:tab w:val="left" w:pos="22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289" w:hanging="19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9BC82C4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7FF1825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</w:t>
      </w:r>
      <w:r>
        <w:rPr>
          <w:rFonts w:ascii="Sylfaen" w:eastAsia="Times New Roman" w:hAnsi="Sylfaen" w:cs="Sylfaen"/>
          <w:lang w:val="ka-GE" w:eastAsia="ka-GE"/>
        </w:rPr>
        <w:t>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21A448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8A8615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 17.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EABBBFE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</w:p>
    <w:p w14:paraId="4D57FAAE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კონტრდა</w:t>
      </w:r>
      <w:r>
        <w:rPr>
          <w:rFonts w:ascii="Sylfaen" w:eastAsia="Times New Roman" w:hAnsi="Sylfaen" w:cs="Sylfaen"/>
          <w:lang w:val="ka-GE" w:eastAsia="ka-GE"/>
        </w:rPr>
        <w:t>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338C558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73F79C87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</w:p>
    <w:p w14:paraId="7D3CE5E5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კონტრდაზვერვი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244C6FF7" w14:textId="77777777" w:rsidR="00000000" w:rsidRDefault="001668EC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</w:t>
      </w:r>
      <w:r>
        <w:rPr>
          <w:rFonts w:ascii="Sylfaen" w:eastAsia="Times New Roman" w:hAnsi="Sylfaen" w:cs="Sylfaen"/>
          <w:lang w:val="ka-GE" w:eastAsia="ka-GE"/>
        </w:rPr>
        <w:t>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სადაზვერვო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3700E41" w14:textId="77777777" w:rsidR="00000000" w:rsidRDefault="001668EC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DF9DF2" w14:textId="77777777" w:rsidR="00000000" w:rsidRDefault="001668EC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9BB0795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  </w:t>
      </w:r>
      <w:r>
        <w:rPr>
          <w:rFonts w:ascii="Sylfaen" w:eastAsia="Times New Roman" w:hAnsi="Sylfaen" w:cs="Sylfaen"/>
          <w:lang w:val="ka-GE" w:eastAsia="ka-GE"/>
        </w:rPr>
        <w:t>კონსპირაციული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</w:p>
    <w:p w14:paraId="271EC196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კონსპირაციული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F564E4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E2C7105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</w:t>
      </w:r>
      <w:r>
        <w:rPr>
          <w:rFonts w:ascii="Sylfaen" w:eastAsia="Times New Roman" w:hAnsi="Sylfaen" w:cs="Sylfaen"/>
          <w:lang w:val="ka-GE" w:eastAsia="ka-GE"/>
        </w:rPr>
        <w:t>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F89FC4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215D89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B2360D6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 IV.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</w:p>
    <w:p w14:paraId="7746EA3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სამსახურებისთვის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შემწყობ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</w:p>
    <w:p w14:paraId="76948FE7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</w:p>
    <w:p w14:paraId="3C619338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659A064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</w:p>
    <w:p w14:paraId="376AD606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ირიცხებიან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A178C7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ჩაერიოს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A3208C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243B74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09AB81" w14:textId="77777777" w:rsidR="00000000" w:rsidRDefault="001668EC">
      <w:pPr>
        <w:pStyle w:val="Normal0"/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520" w:hanging="1980"/>
        <w:jc w:val="both"/>
        <w:rPr>
          <w:rFonts w:ascii="Sylfaen" w:eastAsia="Times New Roman" w:hAnsi="Sylfaen" w:cs="Sylfaen"/>
          <w:lang w:val="ka-GE" w:eastAsia="ka-GE"/>
        </w:rPr>
      </w:pPr>
    </w:p>
    <w:p w14:paraId="21054FF4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3D9002E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</w:p>
    <w:p w14:paraId="16E8DBED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შეიტყვეს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</w:t>
      </w:r>
      <w:r>
        <w:rPr>
          <w:rFonts w:ascii="Sylfaen" w:eastAsia="Times New Roman" w:hAnsi="Sylfaen" w:cs="Sylfaen"/>
          <w:lang w:val="ka-GE" w:eastAsia="ka-GE"/>
        </w:rPr>
        <w:t>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49C63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ქმედუნარიან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</w:t>
      </w:r>
      <w:r>
        <w:rPr>
          <w:rFonts w:ascii="Sylfaen" w:eastAsia="Times New Roman" w:hAnsi="Sylfaen" w:cs="Sylfaen"/>
          <w:lang w:val="ka-GE" w:eastAsia="ka-GE"/>
        </w:rPr>
        <w:t>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მრწამსის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აღმსარებლობის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4567B8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</w:t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გამომძიებლის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3391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4A8EBE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6F6F4367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შემწყობ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A79A6A1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7FA2AA8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</w:p>
    <w:p w14:paraId="63434366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შემწყობ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7D8E20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ახლობლებს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შეექმნებათ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C234F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</w:t>
      </w:r>
      <w:r>
        <w:rPr>
          <w:rFonts w:ascii="Sylfaen" w:eastAsia="Times New Roman" w:hAnsi="Sylfaen" w:cs="Sylfaen"/>
          <w:lang w:val="ka-GE" w:eastAsia="ka-GE"/>
        </w:rPr>
        <w:t>ლოებას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760127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გასამრჯელოს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171BD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ნაცხადა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931B4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ახლობლების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8A8ABE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00F9A951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4E1398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</w:p>
    <w:p w14:paraId="4F67E2BB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გამოეყოფათ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იხარჯება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F71EF3D" w14:textId="77777777" w:rsidR="00000000" w:rsidRDefault="001668EC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 w:hanging="1980"/>
        <w:jc w:val="center"/>
        <w:rPr>
          <w:rFonts w:ascii="Sylfaen" w:eastAsia="Times New Roman" w:hAnsi="Sylfaen" w:cs="Sylfaen"/>
          <w:lang w:val="ka-GE" w:eastAsia="ka-GE"/>
        </w:rPr>
      </w:pPr>
    </w:p>
    <w:p w14:paraId="30F3E6CE" w14:textId="77777777" w:rsidR="00000000" w:rsidRDefault="001668EC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 w:hanging="1980"/>
        <w:jc w:val="center"/>
        <w:rPr>
          <w:rFonts w:ascii="Sylfaen" w:eastAsia="Times New Roman" w:hAnsi="Sylfaen" w:cs="Sylfaen"/>
          <w:lang w:val="ka-GE" w:eastAsia="ka-GE"/>
        </w:rPr>
      </w:pPr>
    </w:p>
    <w:p w14:paraId="17EA390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V.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0F9B040F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8F77B9B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94DC01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</w:t>
      </w:r>
      <w:r>
        <w:rPr>
          <w:rFonts w:ascii="Sylfaen" w:eastAsia="Times New Roman" w:hAnsi="Sylfaen" w:cs="Sylfaen"/>
          <w:lang w:eastAsia="x-none"/>
        </w:rPr>
        <w:t>რდაზვერვით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CE7FC8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B08DE3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14:paraId="6E40E307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A526C98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1CD02B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val="ka-GE" w:eastAsia="ka-GE"/>
        </w:rPr>
      </w:pPr>
    </w:p>
    <w:p w14:paraId="076AF05E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</w:t>
      </w:r>
      <w:r>
        <w:rPr>
          <w:rFonts w:ascii="Sylfaen" w:eastAsia="Times New Roman" w:hAnsi="Sylfaen" w:cs="Sylfaen"/>
          <w:lang w:val="ka-GE" w:eastAsia="ka-GE"/>
        </w:rPr>
        <w:t>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N1158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C940B75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</w:t>
      </w:r>
      <w:r>
        <w:rPr>
          <w:rFonts w:ascii="Sylfaen" w:eastAsia="Times New Roman" w:hAnsi="Sylfaen" w:cs="Sylfaen"/>
          <w:lang w:val="ka-GE" w:eastAsia="ka-GE"/>
        </w:rPr>
        <w:t>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886204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9251D79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№477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FE8ABFC" w14:textId="77777777" w:rsidR="00000000" w:rsidRDefault="00166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   </w:t>
      </w:r>
    </w:p>
    <w:p w14:paraId="3C1AB44B" w14:textId="77777777" w:rsidR="00000000" w:rsidRDefault="001668E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783819A" w14:textId="77777777" w:rsidR="00000000" w:rsidRDefault="001668E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0FE16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B476BA2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DF914AC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k-KZ" w:eastAsia="kk-KZ"/>
        </w:rPr>
        <w:t>დ</w:t>
      </w:r>
      <w:r>
        <w:rPr>
          <w:rFonts w:ascii="Sylfaen" w:eastAsia="Times New Roman" w:hAnsi="Sylfaen" w:cs="Sylfaen"/>
          <w:lang w:val="ka-GE" w:eastAsia="ka-GE"/>
        </w:rPr>
        <w:t>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479AD6D6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14:paraId="1A30AD1B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14:paraId="586DA4B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</w:t>
      </w:r>
      <w:r>
        <w:rPr>
          <w:rFonts w:ascii="Sylfaen" w:eastAsia="Times New Roman" w:hAnsi="Sylfaen" w:cs="Sylfaen"/>
          <w:lang w:val="ka-GE" w:eastAsia="ka-GE"/>
        </w:rPr>
        <w:t>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5524BA" w14:textId="77777777" w:rsidR="00000000" w:rsidRDefault="001668EC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3A6EAD0A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</w:p>
    <w:p w14:paraId="42F13EB0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FEB403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354CBB45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სააკაშვილი</w:t>
      </w:r>
    </w:p>
    <w:p w14:paraId="5BB91A49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673242A7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0E33DC3C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11 </w:t>
      </w:r>
      <w:r>
        <w:rPr>
          <w:rFonts w:ascii="Sylfaen" w:eastAsia="Times New Roman" w:hAnsi="Sylfaen" w:cs="Sylfaen"/>
          <w:lang w:val="ka-GE" w:eastAsia="ka-GE"/>
        </w:rPr>
        <w:t>ნოემბერ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6949BEC" w14:textId="77777777" w:rsidR="00000000" w:rsidRDefault="001668E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2097 - II </w:t>
      </w:r>
      <w:r>
        <w:rPr>
          <w:rFonts w:ascii="Sylfaen" w:eastAsia="Times New Roman" w:hAnsi="Sylfaen" w:cs="Sylfaen"/>
          <w:lang w:val="ka-GE" w:eastAsia="ka-GE"/>
        </w:rPr>
        <w:t>ს</w:t>
      </w:r>
    </w:p>
    <w:p w14:paraId="3E2E9A6E" w14:textId="77777777" w:rsidR="00000000" w:rsidRDefault="001668EC">
      <w:pPr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668EC"/>
    <w:rsid w:val="001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75A5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7560</Words>
  <Characters>43098</Characters>
  <Application>Microsoft Office Word</Application>
  <DocSecurity>0</DocSecurity>
  <Lines>359</Lines>
  <Paragraphs>101</Paragraphs>
  <ScaleCrop>false</ScaleCrop>
  <Company/>
  <LinksUpToDate>false</LinksUpToDate>
  <CharactersWithSpaces>50557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