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პენსიის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№2117)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შეჩ</w:t>
      </w:r>
      <w:r>
        <w:rPr>
          <w:rFonts w:ascii="Sylfaen" w:eastAsia="Times New Roman" w:hAnsi="Sylfaen" w:cs="Sylfaen"/>
          <w:lang w:val="en-US"/>
        </w:rPr>
        <w:t>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120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lang w:val="en-US"/>
        </w:rPr>
        <w:t xml:space="preserve">(25.05.2012.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6301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0120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მოქალაქეებზე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0120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სტატუ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0120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პენსიის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მოქალაქეებზე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</w:t>
      </w:r>
      <w:r>
        <w:rPr>
          <w:rFonts w:ascii="Sylfaen" w:eastAsia="Times New Roman" w:hAnsi="Sylfaen" w:cs="Sylfaen"/>
          <w:lang w:val="en-US"/>
        </w:rPr>
        <w:t>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საყოველთაოობა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მუდმივობა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სოლიდარობა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განცხა</w:t>
      </w:r>
      <w:r>
        <w:rPr>
          <w:rFonts w:ascii="Sylfaen" w:eastAsia="Times New Roman" w:hAnsi="Sylfaen" w:cs="Sylfaen"/>
          <w:lang w:val="en-US"/>
        </w:rPr>
        <w:t>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გარდაცვალება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გამოცხადება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უზეუმებისა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პანსიონებისა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პენსი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პენსიონერი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3079)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12049">
      <w:pPr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lang w:val="ka-GE" w:eastAsia="ka-GE"/>
        </w:rPr>
        <w:t>№2117)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</w:t>
      </w:r>
      <w:r>
        <w:rPr>
          <w:rFonts w:ascii="Sylfaen" w:eastAsia="Times New Roman" w:hAnsi="Sylfaen" w:cs="Sylfaen"/>
          <w:lang w:val="ka-GE" w:eastAsia="ka-GE"/>
        </w:rPr>
        <w:t>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–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წარმოეშობათ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lang w:val="ka-GE" w:eastAsia="ka-GE"/>
        </w:rPr>
        <w:t>№6728)</w:t>
      </w:r>
    </w:p>
    <w:p w:rsidR="00000000" w:rsidRDefault="00012049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პენსიონერებისთვის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პენსიონერებისთვის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არითმეტიკულის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მრგვალდება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დამრგვალებული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მეათედამდე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დამრგვალებული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მეათედამდე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>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12049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12049">
      <w:pPr>
        <w:pStyle w:val="abzacixml"/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ავტომატიზებული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დოკუმენტბრუნვის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662)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მაძიებელსა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პენსიონერსა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პენსიონერის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Agency FB" w:hAnsi="Agency FB" w:cs="Agency FB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Agency FB" w:hAnsi="Agency FB" w:cs="Agency FB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Agency FB" w:hAnsi="Agency FB" w:cs="Agency FB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№2117)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პენსიონერი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№2117)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პენსიონერის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lang w:val="ka-GE" w:eastAsia="ka-GE"/>
        </w:rPr>
        <w:t>№2117)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 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17. </w:t>
      </w:r>
      <w:r>
        <w:rPr>
          <w:rFonts w:ascii="Sylfaen" w:eastAsia="Times New Roman" w:hAnsi="Sylfaen" w:cs="Sylfaen"/>
          <w:color w:val="000000"/>
          <w:lang w:val="ka-GE" w:eastAsia="ka-GE"/>
        </w:rPr>
        <w:t>პენსიის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lang w:val="ka-GE" w:eastAsia="ka-GE"/>
        </w:rPr>
        <w:t>№2117)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12049">
      <w:pPr>
        <w:pStyle w:val="abzacixml"/>
        <w:spacing w:line="20" w:lineRule="atLeast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პენსიის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წყაროა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>ლექტრონულ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ავტომატურ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რეჟიმში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VII.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  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(04.04.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№2117)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22. 2012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პენსიონერს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</w:t>
      </w:r>
      <w:r>
        <w:rPr>
          <w:rFonts w:ascii="Sylfaen" w:eastAsia="Times New Roman" w:hAnsi="Sylfaen" w:cs="Sylfaen"/>
          <w:lang w:val="ka-GE" w:eastAsia="ka-GE"/>
        </w:rPr>
        <w:t>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შეჯამებულად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პენსიონერს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საცემელი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12049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გასაცემელი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გაცემაც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პლემენტაციასთან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609)</w:t>
      </w:r>
    </w:p>
    <w:p w:rsidR="00000000" w:rsidRDefault="0001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1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1204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hAnsi="Sylfaen" w:cs="Sylfaen"/>
          <w:sz w:val="24"/>
          <w:szCs w:val="24"/>
          <w:lang w:eastAsia="x-none"/>
        </w:rPr>
        <w:t xml:space="preserve">2021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ილამდე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               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    „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ერსონიფიცირებული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N21, 15.07.2003,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142);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, №</w:t>
      </w:r>
      <w:r>
        <w:rPr>
          <w:rFonts w:ascii="Sylfaen" w:hAnsi="Sylfaen" w:cs="Sylfaen"/>
          <w:lang w:val="ka-GE" w:eastAsia="ka-GE"/>
        </w:rPr>
        <w:t xml:space="preserve">21, 15.07.2003,  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144);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>, №</w:t>
      </w:r>
      <w:r>
        <w:rPr>
          <w:rFonts w:ascii="Sylfaen" w:hAnsi="Sylfaen" w:cs="Sylfaen"/>
          <w:lang w:val="ka-GE" w:eastAsia="ka-GE"/>
        </w:rPr>
        <w:t xml:space="preserve">21, 15.07.2003,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143).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120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2442 -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01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2049"/>
    <w:rsid w:val="000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720"/>
      <w:jc w:val="both"/>
    </w:pPr>
    <w:rPr>
      <w:sz w:val="22"/>
      <w:szCs w:val="22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  <w:ind w:left="21" w:hanging="10"/>
      <w:jc w:val="both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Sylfaen" w:hAnsi="Sylfaen" w:cs="Sylfae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844"/>
        <w:tab w:val="right" w:pos="9689"/>
      </w:tabs>
      <w:ind w:left="21" w:hanging="10"/>
      <w:jc w:val="both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Sylfaen" w:hAnsi="Sylfaen" w:cs="Sylfae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