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კომპენსაციისა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აკადემიური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სტიპენდიის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I.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კომპენსაცია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სტიპენდიის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გაანგარიშების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წარმოიშობა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</w:t>
      </w:r>
      <w:r>
        <w:rPr>
          <w:rFonts w:ascii="Sylfaen" w:eastAsia="Times New Roman" w:hAnsi="Sylfaen" w:cs="Sylfaen"/>
          <w:lang w:val="en-US"/>
        </w:rPr>
        <w:t>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4.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(13.10.2006.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3567)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სტიპენდიის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სტიპენდიის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სტიპენდიის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გაფართოება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სამართლიანობა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თანასწორობა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მუდმივობა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სტიპენდიის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</w:t>
      </w:r>
      <w:r>
        <w:rPr>
          <w:rFonts w:ascii="Sylfaen" w:eastAsia="Times New Roman" w:hAnsi="Sylfaen" w:cs="Sylfaen"/>
          <w:lang w:val="en-US"/>
        </w:rPr>
        <w:t>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/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სტიპენდიის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რდაცვალება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უკვლოდ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</w:t>
      </w:r>
      <w:r>
        <w:rPr>
          <w:rFonts w:ascii="Sylfaen" w:eastAsia="Times New Roman" w:hAnsi="Sylfaen" w:cs="Sylfaen"/>
          <w:lang w:eastAsia="x-none"/>
        </w:rPr>
        <w:t>დემიისა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მუზეუმებისა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ბიბლიოთეკებისა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სკოლა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პანსიონებისა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სკოლამდელი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სკოლისგარეშე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სააღმზრდელო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</w:t>
      </w:r>
      <w:r>
        <w:rPr>
          <w:rFonts w:ascii="Sylfaen" w:eastAsia="Times New Roman" w:hAnsi="Sylfaen" w:cs="Sylfaen"/>
          <w:lang w:eastAsia="x-none"/>
        </w:rPr>
        <w:t>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საუბნო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კომპეტენტურ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</w:t>
      </w:r>
      <w:r>
        <w:rPr>
          <w:rFonts w:ascii="Sylfaen" w:eastAsia="Times New Roman" w:hAnsi="Sylfaen" w:cs="Sylfaen"/>
          <w:lang w:eastAsia="x-none"/>
        </w:rPr>
        <w:t>სტრო</w:t>
      </w:r>
      <w:r>
        <w:rPr>
          <w:rFonts w:ascii="Sylfae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№2454)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მეცნიერი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№3120)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№3120)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კომპენსა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მეცნიერის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</w:t>
      </w:r>
      <w:r>
        <w:rPr>
          <w:rFonts w:ascii="Sylfaen" w:eastAsia="Times New Roman" w:hAnsi="Sylfaen" w:cs="Sylfaen"/>
          <w:lang w:val="ka-GE" w:eastAsia="ka-GE"/>
        </w:rPr>
        <w:t>ნობით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(25.07.2013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(22.06.2012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Style w:val="Strong"/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თადარიგში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>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</w:t>
      </w:r>
      <w:r>
        <w:rPr>
          <w:rFonts w:ascii="Sylfaen" w:eastAsia="Times New Roman" w:hAnsi="Sylfaen" w:cs="Sylfaen"/>
          <w:lang w:val="ka-GE" w:eastAsia="ka-GE"/>
        </w:rPr>
        <w:t>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</w:t>
      </w:r>
      <w:r>
        <w:rPr>
          <w:rFonts w:ascii="Sylfaen" w:eastAsia="Times New Roman" w:hAnsi="Sylfaen" w:cs="Sylfaen"/>
          <w:lang w:val="ka-GE" w:eastAsia="ka-GE"/>
        </w:rPr>
        <w:t>ატიდან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Style w:val="Strong"/>
          <w:rFonts w:ascii="Sylfaen" w:eastAsia="Times New Roman" w:hAnsi="Sylfaen" w:cs="Sylfaen"/>
          <w:lang w:val="ka-GE" w:eastAsia="ka-GE"/>
        </w:rPr>
        <w:t>ე</w:t>
      </w:r>
      <w:r>
        <w:rPr>
          <w:rStyle w:val="Strong"/>
          <w:rFonts w:ascii="Sylfaen" w:hAnsi="Sylfaen" w:cs="Sylfaen"/>
          <w:position w:val="12"/>
          <w:lang w:val="ka-GE" w:eastAsia="ka-GE"/>
        </w:rPr>
        <w:t>1</w:t>
      </w:r>
      <w:r>
        <w:rPr>
          <w:rStyle w:val="Strong"/>
          <w:rFonts w:ascii="Sylfaen" w:hAnsi="Sylfaen" w:cs="Sylfaen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lang w:val="ka-GE" w:eastAsia="ka-GE"/>
        </w:rPr>
        <w:t>ამოღებულია</w:t>
      </w:r>
      <w:r>
        <w:rPr>
          <w:rStyle w:val="Strong"/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1714)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მეცნიე</w:t>
      </w:r>
      <w:r>
        <w:rPr>
          <w:rFonts w:ascii="Sylfaen" w:eastAsia="Times New Roman" w:hAnsi="Sylfaen" w:cs="Sylfaen"/>
          <w:lang w:val="ka-GE" w:eastAsia="ka-GE"/>
        </w:rPr>
        <w:t>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2798)</w:t>
      </w: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2004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აგვისტოს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1896) (2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 (1991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აპრილი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>, 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№4545)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</w:t>
      </w:r>
      <w:r>
        <w:rPr>
          <w:rFonts w:ascii="Sylfaen" w:eastAsia="Times New Roman" w:hAnsi="Sylfaen" w:cs="Sylfaen"/>
          <w:lang w:val="ka-GE" w:eastAsia="ka-GE"/>
        </w:rPr>
        <w:t>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</w:t>
      </w:r>
      <w:r>
        <w:rPr>
          <w:rFonts w:ascii="Sylfaen" w:eastAsia="Times New Roman" w:hAnsi="Sylfaen" w:cs="Sylfaen"/>
          <w:lang w:val="ka-GE" w:eastAsia="ka-GE"/>
        </w:rPr>
        <w:t>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მეხანძრე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მაშველის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სამაშველო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</w:t>
      </w:r>
      <w:r>
        <w:rPr>
          <w:rFonts w:ascii="Sylfaen" w:eastAsia="Times New Roman" w:hAnsi="Sylfaen" w:cs="Sylfaen"/>
          <w:lang w:val="ka-GE" w:eastAsia="ka-GE"/>
        </w:rPr>
        <w:t>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</w:t>
      </w:r>
      <w:r>
        <w:rPr>
          <w:rFonts w:ascii="Sylfaen" w:eastAsia="Times New Roman" w:hAnsi="Sylfaen" w:cs="Sylfaen"/>
          <w:lang w:val="ka-GE" w:eastAsia="ka-GE"/>
        </w:rPr>
        <w:t>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ურთიერ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თობებზე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მშვილებლებზე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ნაშვილებ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560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</w:t>
      </w:r>
      <w:r>
        <w:rPr>
          <w:rFonts w:ascii="Sylfaen" w:eastAsia="Times New Roman" w:hAnsi="Sylfaen" w:cs="Sylfaen"/>
          <w:lang w:val="ka-GE" w:eastAsia="ka-GE"/>
        </w:rPr>
        <w:t>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09.06.2021.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№611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თადარიგში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ზემოხსენებულ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საკონტრა</w:t>
      </w:r>
      <w:r>
        <w:rPr>
          <w:rFonts w:ascii="Sylfaen" w:eastAsia="Times New Roman" w:hAnsi="Sylfaen" w:cs="Sylfaen"/>
          <w:lang w:val="ka-GE" w:eastAsia="ka-GE"/>
        </w:rPr>
        <w:t>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ზემოხსენებულ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ზემოხსენებულ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წლების</w:t>
      </w:r>
      <w:r>
        <w:rPr>
          <w:rFonts w:ascii="Sylfaen" w:eastAsia="Times New Roman" w:hAnsi="Sylfaen" w:cs="Sylfaen"/>
          <w:lang w:val="ka-GE" w:eastAsia="ka-GE"/>
        </w:rPr>
        <w:t xml:space="preserve"> 10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ზემოხსენებულ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წლების</w:t>
      </w:r>
      <w:r>
        <w:rPr>
          <w:rFonts w:ascii="Sylfaen" w:eastAsia="Times New Roman" w:hAnsi="Sylfaen" w:cs="Sylfaen"/>
          <w:lang w:val="ka-GE" w:eastAsia="ka-GE"/>
        </w:rPr>
        <w:t xml:space="preserve"> 15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65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80%.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თადარიგში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ზემოხსენებულ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20-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განესაზღვროთ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(09.06.2021.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№611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(2009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თანაშემწედ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თადარიგში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</w:t>
      </w:r>
      <w:r>
        <w:rPr>
          <w:rFonts w:ascii="Sylfaen" w:eastAsia="Times New Roman" w:hAnsi="Sylfaen" w:cs="Sylfaen"/>
          <w:lang w:val="ka-GE" w:eastAsia="ka-GE"/>
        </w:rPr>
        <w:t>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აღასრულებდნენ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№3120)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პერიოდიც</w:t>
      </w:r>
      <w:r>
        <w:rPr>
          <w:rFonts w:ascii="Sylfaen" w:eastAsia="Times New Roman" w:hAnsi="Sylfaen" w:cs="Sylfaen"/>
          <w:lang w:val="ka-GE" w:eastAsia="ka-GE"/>
        </w:rPr>
        <w:t xml:space="preserve">.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№3120)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                    20 </w:t>
      </w:r>
      <w:r>
        <w:rPr>
          <w:rFonts w:ascii="Sylfaen" w:eastAsia="Times New Roman" w:hAnsi="Sylfaen" w:cs="Sylfaen"/>
          <w:lang w:val="ka-GE" w:eastAsia="ka-GE"/>
        </w:rPr>
        <w:t>კალენდა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</w:t>
      </w:r>
      <w:r>
        <w:rPr>
          <w:rFonts w:ascii="Sylfaen" w:eastAsia="Times New Roman" w:hAnsi="Sylfaen" w:cs="Sylfaen"/>
          <w:lang w:val="ka-GE" w:eastAsia="ka-GE"/>
        </w:rPr>
        <w:t>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>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(2009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</w:t>
      </w:r>
      <w:r>
        <w:rPr>
          <w:rFonts w:ascii="Sylfaen" w:eastAsia="Times New Roman" w:hAnsi="Sylfaen" w:cs="Sylfaen"/>
          <w:lang w:val="ka-GE" w:eastAsia="ka-GE"/>
        </w:rPr>
        <w:t>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თანაშემწედ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7F3C3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20%-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15%-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80%.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F3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საერთო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</w:p>
    <w:p w:rsidR="00000000" w:rsidRDefault="007F3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. „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2259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საერთო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დაუმთავრდა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უფლებამოსილებადამთავრებული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უფლებამოსილებაშეწყვეტილი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60%-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მოადგილისათვის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55%-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თავმჯდომარისათვის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პე</w:t>
      </w:r>
      <w:r>
        <w:rPr>
          <w:rFonts w:ascii="Sylfaen" w:eastAsia="Times New Roman" w:hAnsi="Sylfaen" w:cs="Sylfaen"/>
          <w:lang w:val="ka-GE" w:eastAsia="ka-GE"/>
        </w:rPr>
        <w:t>ნსიას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პენსიას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45%-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</w:t>
      </w:r>
      <w:r>
        <w:rPr>
          <w:rFonts w:ascii="Sylfaen" w:eastAsia="Times New Roman" w:hAnsi="Sylfaen" w:cs="Sylfaen"/>
          <w:lang w:val="ka-GE" w:eastAsia="ka-GE"/>
        </w:rPr>
        <w:t>ავლი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თავმჯდომარისათვის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 –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პენსიას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 40%-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თავმჯდომარისათვის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35%-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30%-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აირჩია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2. 1990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სადეპუტატო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6-</w:t>
      </w:r>
      <w:r>
        <w:rPr>
          <w:rFonts w:ascii="Sylfaen" w:eastAsia="Times New Roman" w:hAnsi="Sylfaen" w:cs="Sylfaen"/>
          <w:lang w:val="ka-GE" w:eastAsia="ka-GE"/>
        </w:rPr>
        <w:t>თვიანი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1990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სადეპუტატო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დეპუტატის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</w:t>
      </w:r>
      <w:r>
        <w:rPr>
          <w:rFonts w:ascii="Sylfaen" w:eastAsia="Times New Roman" w:hAnsi="Sylfaen" w:cs="Sylfaen"/>
          <w:lang w:val="ka-GE" w:eastAsia="ka-GE"/>
        </w:rPr>
        <w:t>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(09.06.2021.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№607)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lang w:val="ka-GE" w:eastAsia="ka-GE"/>
        </w:rPr>
        <w:t>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დაფრინავდა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მამაკაცს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ბორტაეროლოგისა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თვითმფრინავებს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ნაფრენი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6000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ბორტაეროლოგისა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</w:t>
      </w:r>
      <w:r>
        <w:rPr>
          <w:rFonts w:ascii="Sylfaen" w:eastAsia="Times New Roman" w:hAnsi="Sylfaen" w:cs="Sylfaen"/>
          <w:lang w:val="ka-GE" w:eastAsia="ka-GE"/>
        </w:rPr>
        <w:t>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თვითმფრინავებს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ნაფრენი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4800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მამაკაცს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ბორტაეროლოგი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</w:t>
      </w:r>
      <w:r>
        <w:rPr>
          <w:rFonts w:ascii="Sylfaen" w:eastAsia="Times New Roman" w:hAnsi="Sylfaen" w:cs="Sylfaen"/>
          <w:lang w:val="ka-GE" w:eastAsia="ka-GE"/>
        </w:rPr>
        <w:t>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თვითმფრინავებს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ბორტაეროლოგი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თვითმფრინავებს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pStyle w:val="ListParagraph"/>
        <w:spacing w:after="0" w:line="240" w:lineRule="auto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მეთაურისათვის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ნაფრენი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მესამასედის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ListParagraph"/>
        <w:spacing w:after="0" w:line="240" w:lineRule="auto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პილოტისათვის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შტურმანისათვის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ბორტმექანიკოს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ინჟინრისათვის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მეთაურისათვის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ნაფრენი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მესამასედის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ListParagraph"/>
        <w:spacing w:after="0" w:line="240" w:lineRule="auto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ბორტგამცილებლისათვის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ბორტრადისტისათვის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ნაფრენი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მესამასედის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ბორტაეროლოგისათვის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თვითმფრინავებს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წლების</w:t>
      </w:r>
      <w:r>
        <w:rPr>
          <w:rFonts w:ascii="Sylfaen" w:eastAsia="Times New Roman" w:hAnsi="Sylfaen" w:cs="Sylfaen"/>
          <w:lang w:val="ka-GE" w:eastAsia="ka-GE"/>
        </w:rPr>
        <w:t xml:space="preserve">) 2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კომპენსაციების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6550) 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7F3C3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კომპენსაციები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მოადგილეებისათვის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</w:t>
      </w:r>
      <w:r>
        <w:rPr>
          <w:rFonts w:ascii="Sylfaen" w:eastAsia="Times New Roman" w:hAnsi="Sylfaen" w:cs="Sylfaen"/>
          <w:lang w:val="ka-GE" w:eastAsia="ka-GE"/>
        </w:rPr>
        <w:t>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</w:t>
      </w:r>
      <w:r>
        <w:rPr>
          <w:rFonts w:ascii="Sylfaen" w:eastAsia="Times New Roman" w:hAnsi="Sylfaen" w:cs="Sylfaen"/>
          <w:lang w:val="ka-GE" w:eastAsia="ka-GE"/>
        </w:rPr>
        <w:t>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№3120)</w:t>
      </w:r>
    </w:p>
    <w:p w:rsidR="00000000" w:rsidRDefault="007F3C33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ღწევისას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№3120)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</w:t>
      </w:r>
      <w:r>
        <w:rPr>
          <w:rFonts w:ascii="Sylfaen" w:eastAsia="Times New Roman" w:hAnsi="Sylfaen" w:cs="Sylfaen"/>
          <w:lang w:val="ka-GE" w:eastAsia="ka-GE"/>
        </w:rPr>
        <w:t>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პერიოდთან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3567)</w:t>
      </w:r>
    </w:p>
    <w:p w:rsidR="00000000" w:rsidRDefault="007F3C33">
      <w:pPr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</w:p>
    <w:p w:rsidR="00000000" w:rsidRDefault="007F3C33">
      <w:pPr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1,5%-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</w:t>
      </w:r>
      <w:r>
        <w:rPr>
          <w:rFonts w:ascii="Sylfaen" w:eastAsia="Times New Roman" w:hAnsi="Sylfaen" w:cs="Sylfaen"/>
          <w:lang w:val="ka-GE" w:eastAsia="ka-GE"/>
        </w:rPr>
        <w:t>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125%. 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სადეპუტატო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100%-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სადეპუტატო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100%-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spacing w:line="20" w:lineRule="atLeast"/>
        <w:ind w:firstLine="633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115%.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125%.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378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spacing w:line="20" w:lineRule="atLeast"/>
        <w:ind w:firstLine="69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115%;</w:t>
      </w:r>
    </w:p>
    <w:p w:rsidR="00000000" w:rsidRDefault="007F3C33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125%.</w:t>
      </w:r>
    </w:p>
    <w:p w:rsidR="00000000" w:rsidRDefault="007F3C33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75%.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მარჩენალდაკარგულ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თადარიგში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75%,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თადარიგში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75%,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სამსახურებრი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75%-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დაინიშნავდა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.“.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</w:t>
      </w:r>
      <w:r>
        <w:rPr>
          <w:rFonts w:ascii="Sylfaen" w:eastAsia="Times New Roman" w:hAnsi="Sylfaen" w:cs="Sylfaen"/>
          <w:lang w:val="ka-GE" w:eastAsia="ka-GE"/>
        </w:rPr>
        <w:t>ტამენტში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75%,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</w:t>
      </w:r>
      <w:r>
        <w:rPr>
          <w:rFonts w:ascii="Sylfaen" w:eastAsia="Times New Roman" w:hAnsi="Sylfaen" w:cs="Sylfaen"/>
          <w:lang w:val="ka-GE" w:eastAsia="ka-GE"/>
        </w:rPr>
        <w:t>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№3120)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75%,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</w:t>
      </w:r>
      <w:r>
        <w:rPr>
          <w:rFonts w:ascii="Sylfaen" w:eastAsia="Times New Roman" w:hAnsi="Sylfaen" w:cs="Sylfaen"/>
          <w:lang w:val="ka-GE" w:eastAsia="ka-GE"/>
        </w:rPr>
        <w:t>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75%-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262626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262626"/>
          <w:lang w:val="ka-GE" w:eastAsia="ka-GE"/>
        </w:rPr>
        <w:t>უზენაესი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</w:t>
      </w:r>
      <w:r>
        <w:rPr>
          <w:rFonts w:ascii="Sylfaen" w:eastAsia="Times New Roman" w:hAnsi="Sylfaen" w:cs="Sylfaen"/>
          <w:color w:val="262626"/>
          <w:lang w:val="ka-GE" w:eastAsia="ka-GE"/>
        </w:rPr>
        <w:t>სამართლოს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62626"/>
          <w:lang w:val="ka-GE" w:eastAsia="ka-GE"/>
        </w:rPr>
        <w:t>ყოფილი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შვილებს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18 </w:t>
      </w:r>
      <w:r>
        <w:rPr>
          <w:rFonts w:ascii="Sylfaen" w:eastAsia="Times New Roman" w:hAnsi="Sylfaen" w:cs="Sylfaen"/>
          <w:color w:val="262626"/>
          <w:lang w:val="ka-GE" w:eastAsia="ka-GE"/>
        </w:rPr>
        <w:t>წლის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ასაკის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მეუღლეს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შვილებს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62626"/>
          <w:lang w:val="ka-GE" w:eastAsia="ka-GE"/>
        </w:rPr>
        <w:t>ასაკის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ენიშნებათ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უზენაესი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75%-</w:t>
      </w:r>
      <w:r>
        <w:rPr>
          <w:rFonts w:ascii="Sylfaen" w:eastAsia="Times New Roman" w:hAnsi="Sylfaen" w:cs="Sylfaen"/>
          <w:color w:val="262626"/>
          <w:lang w:val="ka-GE" w:eastAsia="ka-GE"/>
        </w:rPr>
        <w:t>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262626"/>
          <w:lang w:val="ka-GE" w:eastAsia="ka-GE"/>
        </w:rPr>
        <w:t>,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მიერ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hAnsi="Sylfaen" w:cs="Sylfaen"/>
          <w:color w:val="262626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262626"/>
          <w:sz w:val="20"/>
          <w:szCs w:val="20"/>
          <w:lang w:val="ka-GE" w:eastAsia="ka-GE"/>
        </w:rPr>
        <w:t>3793)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75%-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კომპენ</w:t>
      </w:r>
      <w:r>
        <w:rPr>
          <w:rFonts w:ascii="Sylfaen" w:eastAsia="Times New Roman" w:hAnsi="Sylfaen" w:cs="Sylfaen"/>
          <w:lang w:val="ka-GE" w:eastAsia="ka-GE"/>
        </w:rPr>
        <w:t>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75%-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რმოშობილ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შვილები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))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ოჯახიდ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lang w:val="ka-GE" w:eastAsia="ka-GE"/>
        </w:rPr>
        <w:t>“–„</w:t>
      </w:r>
      <w:r>
        <w:rPr>
          <w:rFonts w:ascii="Sylfaen" w:eastAsia="Times New Roman" w:hAnsi="Sylfaen" w:cs="Sylfaen"/>
          <w:color w:val="000000"/>
          <w:lang w:val="ka-GE" w:eastAsia="ka-GE"/>
        </w:rPr>
        <w:t>ჟ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კომპენსაციას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გარდაცვლილზე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ცალ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ცალკე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მიიღებენ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pStyle w:val="abzacixml0"/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abzacixml0"/>
        <w:spacing w:line="20" w:lineRule="atLeast"/>
        <w:rPr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664)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მაძიებელსა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</w:t>
      </w:r>
      <w:r>
        <w:rPr>
          <w:rFonts w:ascii="Sylfaen" w:eastAsia="Times New Roman" w:hAnsi="Sylfaen" w:cs="Sylfaen"/>
          <w:lang w:val="ka-GE" w:eastAsia="ka-GE"/>
        </w:rPr>
        <w:t>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664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ისარგე</w:t>
      </w:r>
      <w:r>
        <w:rPr>
          <w:rFonts w:ascii="Sylfaen" w:eastAsia="Times New Roman" w:hAnsi="Sylfaen" w:cs="Sylfaen"/>
          <w:lang w:val="ka-GE" w:eastAsia="ka-GE"/>
        </w:rPr>
        <w:t>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სდევს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</w:t>
      </w:r>
      <w:r>
        <w:rPr>
          <w:rFonts w:ascii="Sylfaen" w:eastAsia="Times New Roman" w:hAnsi="Sylfaen" w:cs="Sylfaen"/>
          <w:lang w:val="ka-GE" w:eastAsia="ka-GE"/>
        </w:rPr>
        <w:t>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კომპენ</w:t>
      </w:r>
      <w:r>
        <w:rPr>
          <w:rFonts w:ascii="Sylfaen" w:eastAsia="Times New Roman" w:hAnsi="Sylfaen" w:cs="Sylfaen"/>
          <w:lang w:val="ka-GE" w:eastAsia="ka-GE"/>
        </w:rPr>
        <w:t>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</w:t>
      </w:r>
      <w:r>
        <w:rPr>
          <w:rFonts w:ascii="Sylfaen" w:eastAsia="Times New Roman" w:hAnsi="Sylfaen" w:cs="Sylfaen"/>
          <w:lang w:val="ka-GE" w:eastAsia="ka-GE"/>
        </w:rPr>
        <w:t>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</w:t>
      </w:r>
      <w:r>
        <w:rPr>
          <w:rFonts w:ascii="Sylfaen" w:eastAsia="Times New Roman" w:hAnsi="Sylfaen" w:cs="Sylfaen"/>
          <w:lang w:val="ka-GE" w:eastAsia="ka-GE"/>
        </w:rPr>
        <w:t>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F3C33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გაცემა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რიცხვიდან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</w:t>
      </w:r>
      <w:r>
        <w:rPr>
          <w:rFonts w:ascii="Sylfaen" w:eastAsia="Times New Roman" w:hAnsi="Sylfaen" w:cs="Sylfaen"/>
          <w:lang w:val="ka-GE" w:eastAsia="ka-GE"/>
        </w:rPr>
        <w:t>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F3C33">
      <w:pPr>
        <w:tabs>
          <w:tab w:val="left" w:pos="882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სანატორიუმში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7F3C33">
      <w:pPr>
        <w:tabs>
          <w:tab w:val="left" w:pos="882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F3C33">
      <w:pPr>
        <w:pStyle w:val="abzacixml0"/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F3C33">
      <w:pPr>
        <w:pStyle w:val="NoSpacing"/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NoSpacing"/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</w:t>
      </w:r>
      <w:r>
        <w:rPr>
          <w:rFonts w:ascii="Sylfaen" w:eastAsia="Times New Roman" w:hAnsi="Sylfaen" w:cs="Sylfaen"/>
          <w:lang w:val="ka-GE" w:eastAsia="ka-GE"/>
        </w:rPr>
        <w:t>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378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F3C33">
      <w:pPr>
        <w:pStyle w:val="NoSpacing"/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Spacing"/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F3C33">
      <w:pPr>
        <w:pStyle w:val="NoSpacing"/>
        <w:tabs>
          <w:tab w:val="left" w:pos="72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NoSpacing"/>
        <w:tabs>
          <w:tab w:val="left" w:pos="72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F3C33">
      <w:pPr>
        <w:pStyle w:val="NoSpacing"/>
        <w:tabs>
          <w:tab w:val="left" w:pos="72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NoSpacing"/>
        <w:tabs>
          <w:tab w:val="left" w:pos="72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NoSpacing"/>
        <w:tabs>
          <w:tab w:val="left" w:pos="72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F3C33">
      <w:pPr>
        <w:pStyle w:val="NoSpacing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NoSpacing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NoSpacing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NoSpacing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NoSpacing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F3C33">
      <w:pPr>
        <w:pStyle w:val="NoSpacing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ეკუთვნოდა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X. </w:t>
      </w:r>
      <w:r>
        <w:rPr>
          <w:rFonts w:ascii="Sylfaen" w:eastAsia="Times New Roman" w:hAnsi="Sylfaen" w:cs="Sylfaen"/>
          <w:lang w:val="ka-GE" w:eastAsia="ka-GE"/>
        </w:rPr>
        <w:t>კომპენსაციიდან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კომპენსაციიდან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</w:t>
      </w:r>
      <w:r>
        <w:rPr>
          <w:rFonts w:ascii="Sylfaen" w:eastAsia="Times New Roman" w:hAnsi="Sylfaen" w:cs="Sylfaen"/>
          <w:lang w:val="ka-GE" w:eastAsia="ka-GE"/>
        </w:rPr>
        <w:t>ენდიიდან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კომპენსაციიდან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ზედმეტად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20%-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</w:t>
      </w:r>
      <w:r>
        <w:rPr>
          <w:rFonts w:ascii="Sylfaen" w:eastAsia="Times New Roman" w:hAnsi="Sylfaen" w:cs="Sylfaen"/>
          <w:lang w:val="ka-GE" w:eastAsia="ka-GE"/>
        </w:rPr>
        <w:t>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</w:t>
      </w:r>
      <w:r>
        <w:rPr>
          <w:rFonts w:ascii="Sylfaen" w:eastAsia="Times New Roman" w:hAnsi="Sylfaen" w:cs="Sylfaen"/>
          <w:lang w:val="ka-GE" w:eastAsia="ka-GE"/>
        </w:rPr>
        <w:t>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XII.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XIII.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</w:t>
      </w:r>
      <w:r>
        <w:rPr>
          <w:rFonts w:ascii="Sylfaen" w:eastAsia="Times New Roman" w:hAnsi="Sylfaen" w:cs="Sylfaen"/>
          <w:lang w:val="ka-GE" w:eastAsia="ka-GE"/>
        </w:rPr>
        <w:t>ლილი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III, IV, V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პროკუ</w:t>
      </w:r>
      <w:r>
        <w:rPr>
          <w:rFonts w:ascii="Sylfaen" w:eastAsia="Times New Roman" w:hAnsi="Sylfaen" w:cs="Sylfaen"/>
          <w:lang w:val="ka-GE" w:eastAsia="ka-GE"/>
        </w:rPr>
        <w:t>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თადარიგში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მეცნიერთა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7F3C33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ind w:firstLine="709"/>
        <w:jc w:val="both"/>
        <w:rPr>
          <w:rStyle w:val="Emphasis"/>
          <w:rFonts w:ascii="Sylfaen" w:hAnsi="Sylfaen" w:cs="Sylfaen"/>
          <w:i w:val="0"/>
          <w:iCs w:val="0"/>
          <w:lang w:val="ka-GE" w:eastAsia="ka-GE"/>
        </w:rPr>
      </w:pP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მუხლი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37.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იმ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პირთა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უფლებები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,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რომლებიც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არ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არიან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გათვალისწინებული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ამ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კანონით</w:t>
      </w:r>
      <w:r>
        <w:rPr>
          <w:rStyle w:val="Emphasis"/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1714)</w:t>
      </w:r>
    </w:p>
    <w:p w:rsidR="00000000" w:rsidRDefault="007F3C33">
      <w:pPr>
        <w:ind w:firstLine="709"/>
        <w:jc w:val="both"/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</w:pP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 xml:space="preserve">1.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ამ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კანონის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ამოქმედებამდე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ამავე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კანონის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36-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ე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მუხლში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ჩამოთვლილი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საკანონმდებლო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აქტების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შესაბამისად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დანიშნული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კომპენსაციების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გაცემა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,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რომელთა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მიღებას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არ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ითვალისწ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ინებს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ეს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კანონი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,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გაგრძელდეს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ამ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კანონის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ამოქმედებამდე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მოქმედი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კანონმდებლობით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მათი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მიღების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შეწყვეტის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საფუძვლების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წარმოშობამდე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i/>
          <w:iCs/>
          <w:lang w:val="ka-GE" w:eastAsia="ka-GE"/>
        </w:rPr>
        <w:t>ამ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კანონის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მიღების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უფლება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უნარჩუნდებათ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სახელმწიფო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უსაფრთხოებისა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კრიზისების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მართვის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საბჭოს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აპარატიდან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დათხოვნილ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სამხედრო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წოდების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მქონე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პირებს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,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რომლებსაც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უკვე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დანიშნული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აქვთ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შესაბამისი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კომპენსაცია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დაქვემდებარებისა</w:t>
      </w:r>
      <w:r>
        <w:rPr>
          <w:rStyle w:val="Emphasis"/>
          <w:rFonts w:ascii="Sylfae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1990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(14.12.2006 N3939)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1990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უსარგებლიათ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2002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მიმართავენ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გრაფიკით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მეხანძრე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მაშველის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მაშველის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40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მეხანძრე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მაშველს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მაშვე</w:t>
      </w:r>
      <w:r>
        <w:rPr>
          <w:rFonts w:ascii="Sylfaen" w:eastAsia="Times New Roman" w:hAnsi="Sylfaen" w:cs="Sylfaen"/>
          <w:lang w:val="ka-GE" w:eastAsia="ka-GE"/>
        </w:rPr>
        <w:t>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მეხანძრე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მაშველის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წარმოეშობათ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№611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სამინისტროდან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გადაანგარიშებული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იმავდრო</w:t>
      </w:r>
      <w:r>
        <w:rPr>
          <w:rFonts w:ascii="Sylfaen" w:eastAsia="Times New Roman" w:hAnsi="Sylfaen" w:cs="Sylfaen"/>
          <w:lang w:val="ka-GE" w:eastAsia="ka-GE"/>
        </w:rPr>
        <w:t>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გადაანგარიშებული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გადაუანგარიშდება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ნაფრენი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გადაუანგარიშდება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გადაანგარიშებული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F3C33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ზედმეტად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№610)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</w:t>
      </w:r>
      <w:r>
        <w:rPr>
          <w:rFonts w:ascii="Sylfaen" w:eastAsia="Times New Roman" w:hAnsi="Sylfaen" w:cs="Sylfaen"/>
          <w:lang w:val="ka-GE" w:eastAsia="ka-GE"/>
        </w:rPr>
        <w:t>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</w:t>
      </w:r>
      <w:r>
        <w:rPr>
          <w:rFonts w:ascii="Sylfaen" w:eastAsia="Times New Roman" w:hAnsi="Sylfaen" w:cs="Sylfaen"/>
          <w:lang w:val="ka-GE" w:eastAsia="ka-GE"/>
        </w:rPr>
        <w:t>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ლიკვიდაციასთან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პროფესორ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მასწავლებლებზე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ლიკვიდაციასთან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</w:t>
      </w:r>
      <w:r>
        <w:rPr>
          <w:rFonts w:ascii="Sylfaen" w:eastAsia="Times New Roman" w:hAnsi="Sylfaen" w:cs="Sylfaen"/>
          <w:lang w:val="ka-GE" w:eastAsia="ka-GE"/>
        </w:rPr>
        <w:t>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</w:t>
      </w:r>
      <w:r>
        <w:rPr>
          <w:rFonts w:ascii="Sylfaen" w:eastAsia="Times New Roman" w:hAnsi="Sylfaen" w:cs="Sylfaen"/>
          <w:lang w:val="ka-GE" w:eastAsia="ka-GE"/>
        </w:rPr>
        <w:t>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ლიკვიდაციასთან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80%-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</w:t>
      </w:r>
      <w:r>
        <w:rPr>
          <w:rFonts w:ascii="Sylfaen" w:eastAsia="Times New Roman" w:hAnsi="Sylfaen" w:cs="Sylfaen"/>
          <w:lang w:val="ka-GE" w:eastAsia="ka-GE"/>
        </w:rPr>
        <w:t>გიური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4175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60%-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ირთათვის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4175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40%-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4132)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</w:t>
      </w:r>
      <w:r>
        <w:rPr>
          <w:rFonts w:ascii="Sylfaen" w:eastAsia="Times New Roman" w:hAnsi="Sylfaen" w:cs="Sylfaen"/>
          <w:lang w:val="ka-GE" w:eastAsia="ka-GE"/>
        </w:rPr>
        <w:t>იპენდიისა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</w:t>
      </w:r>
      <w:r>
        <w:rPr>
          <w:rFonts w:ascii="Sylfaen" w:eastAsia="Times New Roman" w:hAnsi="Sylfaen" w:cs="Sylfaen"/>
          <w:lang w:val="ka-GE" w:eastAsia="ka-GE"/>
        </w:rPr>
        <w:t>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</w:t>
      </w:r>
      <w:r>
        <w:rPr>
          <w:rFonts w:ascii="Sylfaen" w:eastAsia="Times New Roman" w:hAnsi="Sylfaen" w:cs="Sylfaen"/>
          <w:lang w:val="ka-GE" w:eastAsia="ka-GE"/>
        </w:rPr>
        <w:t>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შრო</w:t>
      </w:r>
      <w:r>
        <w:rPr>
          <w:rFonts w:ascii="Sylfaen" w:eastAsia="Times New Roman" w:hAnsi="Sylfaen" w:cs="Sylfaen"/>
          <w:lang w:val="ka-GE" w:eastAsia="ka-GE"/>
        </w:rPr>
        <w:t>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რეგრესული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XIV.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მეცნიერთა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</w:t>
      </w:r>
      <w:r>
        <w:rPr>
          <w:rFonts w:ascii="Sylfaen" w:eastAsia="Times New Roman" w:hAnsi="Sylfaen" w:cs="Sylfaen"/>
          <w:lang w:val="ka-GE" w:eastAsia="ka-GE"/>
        </w:rPr>
        <w:t>ქმედდეს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ab/>
        <w:t xml:space="preserve">        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დეკემბერი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F3C3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2549 - </w:t>
      </w:r>
      <w:r>
        <w:rPr>
          <w:rFonts w:ascii="Sylfaen" w:eastAsia="Times New Roman" w:hAnsi="Sylfaen" w:cs="Sylfaen"/>
          <w:lang w:val="ka-GE" w:eastAsia="ka-GE"/>
        </w:rPr>
        <w:t>რს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F3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F3C33"/>
    <w:rsid w:val="007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pPr>
      <w:widowControl/>
      <w:ind w:firstLine="720"/>
      <w:jc w:val="both"/>
    </w:pPr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BalloonTextChar1">
    <w:name w:val="Balloon Text Char1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47">
    <w:name w:val="Balloon Text Char147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46">
    <w:name w:val="Balloon Text Char146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45">
    <w:name w:val="Balloon Text Char145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44">
    <w:name w:val="Balloon Text Char144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43">
    <w:name w:val="Balloon Text Char143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42">
    <w:name w:val="Balloon Text Char142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41">
    <w:name w:val="Balloon Text Char141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40">
    <w:name w:val="Balloon Text Char140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39">
    <w:name w:val="Balloon Text Char139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38">
    <w:name w:val="Balloon Text Char138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37">
    <w:name w:val="Balloon Text Char137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36">
    <w:name w:val="Balloon Text Char136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35">
    <w:name w:val="Balloon Text Char135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34">
    <w:name w:val="Balloon Text Char134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33">
    <w:name w:val="Balloon Text Char133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32">
    <w:name w:val="Balloon Text Char132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31">
    <w:name w:val="Balloon Text Char131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30">
    <w:name w:val="Balloon Text Char130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29">
    <w:name w:val="Balloon Text Char129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28">
    <w:name w:val="Balloon Text Char128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27">
    <w:name w:val="Balloon Text Char127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26">
    <w:name w:val="Balloon Text Char126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25">
    <w:name w:val="Balloon Text Char125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24">
    <w:name w:val="Balloon Text Char124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23">
    <w:name w:val="Balloon Text Char123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22">
    <w:name w:val="Balloon Text Char122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21">
    <w:name w:val="Balloon Text Char121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20">
    <w:name w:val="Balloon Text Char120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19">
    <w:name w:val="Balloon Text Char119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18">
    <w:name w:val="Balloon Text Char118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17">
    <w:name w:val="Balloon Text Char117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16">
    <w:name w:val="Balloon Text Char1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5">
    <w:name w:val="Balloon Text Char1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4">
    <w:name w:val="Balloon Text Char1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3">
    <w:name w:val="Balloon Text Char1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2">
    <w:name w:val="Balloon Text Char1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1">
    <w:name w:val="Balloon Text Char11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0">
    <w:name w:val="Balloon Text Char11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9">
    <w:name w:val="Balloon Text Char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8">
    <w:name w:val="Balloon Text Char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7">
    <w:name w:val="Balloon Text Char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6">
    <w:name w:val="Balloon Text Char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5">
    <w:name w:val="Balloon Text Char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4">
    <w:name w:val="Balloon Text Char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3">
    <w:name w:val="Balloon Text Char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">
    <w:name w:val="Balloon Text Char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">
    <w:name w:val="Balloon Text Char11"/>
    <w:basedOn w:val="DefaultParagraphFon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10517</Words>
  <Characters>59951</Characters>
  <Application>Microsoft Office Word</Application>
  <DocSecurity>0</DocSecurity>
  <Lines>499</Lines>
  <Paragraphs>140</Paragraphs>
  <ScaleCrop>false</ScaleCrop>
  <Company/>
  <LinksUpToDate>false</LinksUpToDate>
  <CharactersWithSpaces>70328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