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მტირალას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პარკის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(22.03.2011. N4460)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ქობულეთის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ხელვაჩაურისა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15698,8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მტირალას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ეკოტურისტული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ქობულეთის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ხელვაჩაურისა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>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15698,8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მტირალას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hAnsi="Sylfaen" w:cs="Sylfaen"/>
          <w:i/>
          <w:iCs/>
          <w:lang w:val="en-US"/>
        </w:rPr>
        <w:t>(</w:t>
      </w:r>
      <w:r>
        <w:rPr>
          <w:rFonts w:ascii="Sylfaen" w:hAnsi="Sylfaen" w:cs="Sylfaen"/>
          <w:i/>
          <w:iCs/>
          <w:lang w:val="ka-GE" w:eastAsia="ka-GE"/>
        </w:rPr>
        <w:t xml:space="preserve">22.05.2020 N5958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hAnsi="Sylfaen" w:cs="Sylfaen"/>
          <w:i/>
          <w:iCs/>
          <w:lang w:val="ka-GE" w:eastAsia="ka-GE"/>
        </w:rPr>
        <w:t>)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)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1"/>
        <w:gridCol w:w="960"/>
        <w:gridCol w:w="995"/>
        <w:gridCol w:w="565"/>
        <w:gridCol w:w="1057"/>
        <w:gridCol w:w="1074"/>
        <w:gridCol w:w="720"/>
        <w:gridCol w:w="1052"/>
        <w:gridCol w:w="1219"/>
      </w:tblGrid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Y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Y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735895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4610669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734913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4622579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744865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4615578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735105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4609164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736988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4619045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744475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4622238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733073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4609736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736146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4618489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744213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4614869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734230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4607822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736074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742475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4614155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733980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4608819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736778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738048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4611689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729589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4615221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733419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730616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4618037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728720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4613122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731793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4618366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733772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4617481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729887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4613001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732325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4618287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735577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4621578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729611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4614795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737834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735346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4622276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729637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4614083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738317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4619134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731617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4617847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734805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4619951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735007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4619247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728502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4612920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736814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4610276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736671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4617866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729911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4613546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735895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4610669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737146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4618116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729715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4613985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739758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4618588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737172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4618097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729882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4614049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736482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4623184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737136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4618069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729920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4614224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737403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4622494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737116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4617959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733073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4609736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739443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4624081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737074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4617947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731758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4608161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741554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4623492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736976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4617958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730177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4608748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742394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4623099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736837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4617936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730302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4609409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743948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4622660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736803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4617916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728974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4609249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744953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4622430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736745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4617824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728270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4610435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746333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4620864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736673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4617943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728487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4612304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745772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4619732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736661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4617891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730518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4614325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745713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736666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4617903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730422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4614493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745217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736654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4617929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731389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4618244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745527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4616097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736723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4617973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729602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4615567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743745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4614381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736688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4617938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729360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4616166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741426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4613521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736812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4618019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730672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4617277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740400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4613617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736750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4618008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730516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4617541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740014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4613250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736846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4618031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739496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4618290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739113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4613318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736913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4618026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739738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4618256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737478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4618028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740734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4618870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738338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4612532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737095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4618047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740610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4618341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735863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4622925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737009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4618019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739746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4617731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738005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4623028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737086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4618027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739622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4617616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738895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4623562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737130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4618096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737940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4617898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740858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4623681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736774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4618027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739106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4617852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743053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4622949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4611936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735069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4620564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745769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4621668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4612000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734743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4621022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745940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4619129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4611870</w:t>
            </w:r>
          </w:p>
        </w:tc>
      </w:tr>
    </w:tbl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მტირალას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მტირალას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საკრებულოებში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იკრძალება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126CC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0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მტირალას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მტირალას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(18.12.2007. N5630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126C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ინვენტარიზაცია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გამიჯვნისა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დაზუსტების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სამიწათმოწყობო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126C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მტირალას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საკრებულოებში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</w:t>
      </w:r>
      <w:r>
        <w:rPr>
          <w:rFonts w:ascii="Sylfaen" w:hAnsi="Sylfaen" w:cs="Sylfaen"/>
          <w:i/>
          <w:iCs/>
          <w:lang w:val="ka-GE" w:eastAsia="ka-GE"/>
        </w:rPr>
        <w:t xml:space="preserve">22.05.2020 N5958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hAnsi="Sylfaen" w:cs="Sylfaen"/>
          <w:i/>
          <w:iCs/>
          <w:lang w:val="ka-GE" w:eastAsia="ka-GE"/>
        </w:rPr>
        <w:t>)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)</w:t>
      </w:r>
    </w:p>
    <w:p w:rsidR="00000000" w:rsidRDefault="00E126C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(30.04.2014 N 2312) 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ლეჩის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წყალსადენ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0,8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i/>
          <w:iCs/>
          <w:lang w:eastAsia="x-none"/>
        </w:rPr>
        <w:t xml:space="preserve"> (22.03.2011. N4460)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51"/>
        <w:gridCol w:w="1080"/>
        <w:gridCol w:w="1096"/>
        <w:gridCol w:w="704"/>
        <w:gridCol w:w="1096"/>
        <w:gridCol w:w="1096"/>
      </w:tblGrid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Y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727940.5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4611995.1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728028.9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4611877.6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727952.5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4611977.3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728023.1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4611871.9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727944.8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4611985.6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728014.8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4611871.9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727967.8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4611970.0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728005.1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4611877.7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728008.7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4611958.6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727984.3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4611895.6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728024.8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4611951.9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727957.7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4611905.7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728049.3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4611936.9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727923.2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4611921.3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728041.1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4611905.7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727913.6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4611929.1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728036.4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4611899.0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727921.2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4611948.8</w:t>
            </w:r>
          </w:p>
        </w:tc>
      </w:tr>
      <w:tr w:rsidR="00000000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728034.8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4611890.5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727936.1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1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4611997.4</w:t>
            </w:r>
          </w:p>
        </w:tc>
      </w:tr>
    </w:tbl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>(22.03.2011. N4460)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12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 3147 – 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E126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126CC"/>
    <w:rsid w:val="00E1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pPr>
      <w:ind w:firstLine="720"/>
      <w:jc w:val="both"/>
    </w:pPr>
    <w:rPr>
      <w:rFonts w:ascii="LitNusx" w:hAnsi="LitNusx" w:cs="LitNusx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Base>C:\5\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