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282A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2EB3B3B1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3F015E60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სათამაშო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ბიზნესის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328E50E2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18C1B6EF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1193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A93B794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ვადებს</w:t>
      </w:r>
      <w:r>
        <w:rPr>
          <w:rFonts w:ascii="Sylfaen" w:eastAsia="Times New Roman" w:hAnsi="Sylfaen" w:cs="Sylfaen"/>
          <w:lang w:val="en-US"/>
        </w:rPr>
        <w:t>.</w:t>
      </w:r>
    </w:p>
    <w:p w14:paraId="6FF690EA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1224D47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</w:p>
    <w:p w14:paraId="7BFB88C3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1193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BBA9739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048659C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46EEDE9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გადამხდელი</w:t>
      </w:r>
    </w:p>
    <w:p w14:paraId="1EA9CE20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სათ</w:t>
      </w:r>
      <w:r>
        <w:rPr>
          <w:rFonts w:ascii="Sylfaen" w:eastAsia="Times New Roman" w:hAnsi="Sylfaen" w:cs="Sylfaen"/>
          <w:lang w:eastAsia="x-none"/>
        </w:rPr>
        <w:t>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ლატარიების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მომგებიანი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(9.12.2011. N5453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3556A3A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ლატარიების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მომწყობი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ორგანიზატორი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1193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ED933A6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5D9F3574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</w:p>
    <w:p w14:paraId="3FD28E4A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0BA97CFC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(24.04.2012. N6056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 </w:t>
      </w:r>
      <w:r>
        <w:rPr>
          <w:rFonts w:ascii="Sylfaen" w:hAnsi="Sylfaen" w:cs="Sylfaen"/>
          <w:lang w:eastAsia="x-none"/>
        </w:rPr>
        <w:t xml:space="preserve">     </w:t>
      </w:r>
    </w:p>
    <w:p w14:paraId="002C89B2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(9.12.2011. N5453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47AB2357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წამახალისებელი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გათამაშების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საპრიზო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>;</w:t>
      </w:r>
    </w:p>
    <w:p w14:paraId="0B77AADC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E26B27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ლატ</w:t>
      </w:r>
      <w:r>
        <w:rPr>
          <w:rFonts w:ascii="Sylfaen" w:eastAsia="Times New Roman" w:hAnsi="Sylfaen" w:cs="Sylfaen"/>
          <w:lang w:val="en-US"/>
        </w:rPr>
        <w:t>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ბილეთების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საპრიზო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1193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135779B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მომგებიანი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სისტემურ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>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მომგებიანი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სალარო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(9.12.2011. N5453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B3A573E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7831A895" w14:textId="77777777" w:rsidR="00000000" w:rsidRDefault="00BA79EE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(30.12.2008 N 969)</w:t>
      </w:r>
    </w:p>
    <w:p w14:paraId="241D4BC6" w14:textId="77777777" w:rsidR="00000000" w:rsidRDefault="00BA79EE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დიფერენცირება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12F0B749" w14:textId="77777777" w:rsidR="00000000" w:rsidRDefault="00BA79EE">
      <w:pPr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მაგიდაზე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კვარტალში</w:t>
      </w:r>
      <w:r>
        <w:rPr>
          <w:rFonts w:ascii="Sylfaen" w:eastAsia="Times New Roman" w:hAnsi="Sylfaen" w:cs="Sylfaen"/>
          <w:lang w:eastAsia="x-none"/>
        </w:rPr>
        <w:t xml:space="preserve"> 20 000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40 000 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; (16.12.2016. N99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lang w:val="ka-GE" w:eastAsia="ka-GE"/>
        </w:rPr>
        <w:t xml:space="preserve">17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</w:p>
    <w:p w14:paraId="37B42285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კვარტალში</w:t>
      </w:r>
      <w:r>
        <w:rPr>
          <w:rFonts w:ascii="Sylfaen" w:eastAsia="Times New Roman" w:hAnsi="Sylfaen" w:cs="Sylfaen"/>
          <w:lang w:eastAsia="x-none"/>
        </w:rPr>
        <w:t xml:space="preserve"> 2 000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4 000 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; (16.12.2016. N99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lang w:val="ka-GE" w:eastAsia="ka-GE"/>
        </w:rPr>
        <w:t xml:space="preserve">17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</w:p>
    <w:p w14:paraId="149D083C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(9.12.2011. N5453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675196F3" w14:textId="77777777" w:rsidR="00000000" w:rsidRDefault="00BA79EE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წამახალისებელ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გათამაშებაზე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საპრიზო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   10%;</w:t>
      </w:r>
    </w:p>
    <w:p w14:paraId="4018C81C" w14:textId="77777777" w:rsidR="00000000" w:rsidRDefault="00BA79EE">
      <w:pPr>
        <w:spacing w:line="20" w:lineRule="atLeast"/>
        <w:ind w:firstLine="67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კვარტალში</w:t>
      </w:r>
      <w:r>
        <w:rPr>
          <w:rFonts w:ascii="Sylfaen" w:eastAsia="Times New Roman" w:hAnsi="Sylfaen" w:cs="Sylfaen"/>
          <w:lang w:val="ka-GE" w:eastAsia="ka-GE"/>
        </w:rPr>
        <w:t xml:space="preserve"> 250 000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14:paraId="11C1C03A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ლატარიების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ბილეთების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საპრიზო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სხვაობის</w:t>
      </w:r>
      <w:r>
        <w:rPr>
          <w:rFonts w:ascii="Sylfaen" w:eastAsia="Times New Roman" w:hAnsi="Sylfaen" w:cs="Sylfaen"/>
          <w:lang w:val="en-US"/>
        </w:rPr>
        <w:t xml:space="preserve"> 10%; </w:t>
      </w:r>
      <w:r>
        <w:rPr>
          <w:rFonts w:ascii="Sylfaen" w:hAnsi="Sylfaen" w:cs="Sylfaen"/>
          <w:sz w:val="20"/>
          <w:szCs w:val="20"/>
          <w:lang w:val="en-US"/>
        </w:rPr>
        <w:t>(22.12.202</w:t>
      </w:r>
      <w:r>
        <w:rPr>
          <w:rFonts w:ascii="Sylfaen" w:hAnsi="Sylfaen" w:cs="Sylfaen"/>
          <w:sz w:val="20"/>
          <w:szCs w:val="20"/>
          <w:lang w:val="en-US"/>
        </w:rPr>
        <w:t xml:space="preserve">1 N 1193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0F833AE" w14:textId="77777777" w:rsidR="00000000" w:rsidRDefault="00BA79EE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eastAsia="x-none"/>
        </w:rPr>
        <w:t>გებიანი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>, </w:t>
      </w:r>
      <w:r>
        <w:rPr>
          <w:rFonts w:ascii="Sylfaen" w:eastAsia="Times New Roman" w:hAnsi="Sylfaen" w:cs="Sylfaen"/>
          <w:lang w:eastAsia="x-none"/>
        </w:rPr>
        <w:t>სისტემურ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eastAsia="x-none"/>
        </w:rPr>
        <w:t>გებიანი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სალაროზე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კვარტალში</w:t>
      </w:r>
      <w:r>
        <w:rPr>
          <w:rFonts w:ascii="Sylfaen" w:eastAsia="Times New Roman" w:hAnsi="Sylfaen" w:cs="Sylfaen"/>
          <w:lang w:eastAsia="x-none"/>
        </w:rPr>
        <w:t xml:space="preserve"> 1 500  </w:t>
      </w:r>
      <w:r>
        <w:rPr>
          <w:rFonts w:ascii="Sylfaen" w:eastAsia="Times New Roman" w:hAnsi="Sylfaen" w:cs="Sylfaen"/>
          <w:lang w:eastAsia="x-none"/>
        </w:rPr>
        <w:t>ლარ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20 000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; (16.12.2016. N99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lang w:val="ka-GE" w:eastAsia="ka-GE"/>
        </w:rPr>
        <w:t xml:space="preserve">17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</w:p>
    <w:p w14:paraId="5CE38668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მაგიდაზე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კვარტალში</w:t>
      </w:r>
      <w:r>
        <w:rPr>
          <w:rFonts w:ascii="Sylfaen" w:eastAsia="Times New Roman" w:hAnsi="Sylfaen" w:cs="Sylfaen"/>
          <w:lang w:eastAsia="x-none"/>
        </w:rPr>
        <w:t xml:space="preserve"> 4 000 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14 000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(16.12.2016. N99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lang w:val="ka-GE" w:eastAsia="ka-GE"/>
        </w:rPr>
        <w:t xml:space="preserve">17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</w:p>
    <w:p w14:paraId="1FA828B6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შენიშვნა</w:t>
      </w:r>
      <w:r>
        <w:rPr>
          <w:b/>
          <w:bCs/>
          <w:lang w:eastAsia="x-none"/>
        </w:rPr>
        <w:t>: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მაგიდას</w:t>
      </w:r>
      <w:r>
        <w:rPr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ტურნირის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(24.04.2012. N6056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12E9B4C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44086988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14:paraId="11C565B8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DBF91E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DF0D35B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(28.06.2012 N 6573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AE933A3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(28.06.2012 N 6573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F6EA524" w14:textId="77777777" w:rsidR="00000000" w:rsidRDefault="00BA79EE">
      <w:pPr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2C2475E" w14:textId="77777777" w:rsidR="00000000" w:rsidRDefault="00BA79EE">
      <w:pPr>
        <w:pStyle w:val="Normal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val="ka-GE" w:eastAsia="ka-GE"/>
        </w:rPr>
        <w:lastRenderedPageBreak/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</w:p>
    <w:p w14:paraId="0238D391" w14:textId="77777777" w:rsidR="00000000" w:rsidRDefault="00BA79EE">
      <w:pPr>
        <w:pStyle w:val="Normal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(8.11.2011 N 5249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59192329" w14:textId="77777777" w:rsidR="00000000" w:rsidRDefault="00BA79E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დიაპაზონს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3466D2A9" w14:textId="77777777" w:rsidR="00000000" w:rsidRDefault="00BA79E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მოსაკრებლით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AC640D" w14:textId="77777777" w:rsidR="00000000" w:rsidRDefault="00BA79E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(8.11.2011 N 5249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5B872B93" w14:textId="77777777" w:rsidR="00000000" w:rsidRDefault="00BA79EE">
      <w:pPr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ანიზატორისა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9F92F9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დიაპაზონი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D63BDD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(8.11.2011 N 5249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</w:p>
    <w:p w14:paraId="2CC36C39" w14:textId="77777777" w:rsidR="00000000" w:rsidRDefault="00BA79E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დიაპაზონის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დაბეგვრის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(8.11.2011 N 5249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01B7F80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12.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მომწყობი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ორგანიზატორი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ყოველკვარტალურად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საანგარიშო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კვარტალის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რიცხვისა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დაიანგარიშება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1193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9F74591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3E348D04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ადმინისტრირება</w:t>
      </w:r>
    </w:p>
    <w:p w14:paraId="011294EB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0E7B345" w14:textId="77777777" w:rsidR="00000000" w:rsidRDefault="00BA79EE">
      <w:pPr>
        <w:widowControl/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9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.2010 N 3594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3D524E1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72F47D43" w14:textId="77777777" w:rsidR="00000000" w:rsidRDefault="00BA79EE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(17.0892010 N 3594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8767604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39A48E6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0EB8A67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</w:t>
      </w:r>
      <w:r>
        <w:rPr>
          <w:rFonts w:ascii="Sylfaen" w:eastAsia="Times New Roman" w:hAnsi="Sylfaen" w:cs="Sylfaen"/>
          <w:lang w:eastAsia="x-none"/>
        </w:rPr>
        <w:t>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57296C01" w14:textId="77777777" w:rsidR="00000000" w:rsidRDefault="00BA79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1193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B21535A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7887A099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62905FF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</w:t>
      </w:r>
      <w:r>
        <w:rPr>
          <w:rFonts w:ascii="Sylfaen" w:eastAsia="Times New Roman" w:hAnsi="Sylfaen" w:cs="Sylfaen"/>
          <w:lang w:eastAsia="x-none"/>
        </w:rPr>
        <w:t>მიხეილ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სააკაშვილი</w:t>
      </w:r>
    </w:p>
    <w:p w14:paraId="6ED7B737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49C9FEE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67B05D7A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73FF005C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4250 - 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18BDD0F8" w14:textId="77777777" w:rsidR="00000000" w:rsidRDefault="00BA79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bookmarkStart w:id="0" w:name="Temp"/>
      <w:bookmarkEnd w:id="0"/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79EE"/>
    <w:rsid w:val="00B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A64A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Base>C:\1\N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