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კულტურული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მემკვიდრეობის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კარი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 </w:t>
      </w:r>
      <w:r>
        <w:rPr>
          <w:rFonts w:ascii="Sylfaen" w:eastAsia="Times New Roman" w:hAnsi="Sylfaen" w:cs="Sylfaen"/>
          <w:lang w:val="en-US"/>
        </w:rPr>
        <w:t>ტერმინები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ზრუნავს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ავთენტიკურობა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კონტექსტის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პირველქმნილობა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თანადროულობა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– 100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განამარხებული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ნაშთი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ატყვ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შესასწავლად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მოკვლევის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გათხრის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რესტავრაცია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კონსერვაციისა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იკლი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სტრატიგრაფიისა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ქრონოლოგიის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ვიზუალურად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სასინჯი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თხრილებით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გათხრები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დაფარვითი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ინვენტარიზაცია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განაშენიანება</w:t>
      </w:r>
      <w:r>
        <w:rPr>
          <w:rFonts w:ascii="Sylfaen" w:eastAsia="Times New Roman" w:hAnsi="Sylfaen" w:cs="Sylfaen"/>
          <w:lang w:val="en-US"/>
        </w:rPr>
        <w:t xml:space="preserve"> – 100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განაშენიანება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– 100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სივრცითი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ლანდშაფტური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კონტექსტების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>):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კომპლექსური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ფუნქციურად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ტოპოგრაფიულად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დამც</w:t>
      </w:r>
      <w:r>
        <w:rPr>
          <w:rFonts w:ascii="Sylfaen" w:eastAsia="Times New Roman" w:hAnsi="Sylfaen" w:cs="Sylfaen"/>
          <w:lang w:val="en-US"/>
        </w:rPr>
        <w:t>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ირგვლივ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ზეგავლენისაგან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მემორიალური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</w:t>
      </w:r>
      <w:r>
        <w:rPr>
          <w:rFonts w:ascii="Sylfaen" w:eastAsia="Times New Roman" w:hAnsi="Sylfaen" w:cs="Sylfaen"/>
          <w:lang w:val="en-US"/>
        </w:rPr>
        <w:t>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ანთროპოლოგიური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ეთნოგრაფიული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მონუმენტური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დოკუმენტური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ბაღები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პარკები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ლანდშაფტური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</w:t>
      </w:r>
      <w:r>
        <w:rPr>
          <w:rFonts w:ascii="Sylfaen" w:eastAsia="Times New Roman" w:hAnsi="Sylfaen" w:cs="Sylfaen"/>
          <w:lang w:val="en-US"/>
        </w:rPr>
        <w:t>ექტურის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განვითარებასთან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ფოლკლორთან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რწმენასა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ამჟამად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ცივილიზაციასთან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ზეპირსიტყვიერების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ტრადიციებ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მატარებლის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საშემსრულებლო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ჩვეულებები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ტრადიციულ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ჩვევები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საგნები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არტეფაქტები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ჯგუფებისა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ზოგიერთ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</w:t>
      </w:r>
      <w:r>
        <w:rPr>
          <w:rFonts w:ascii="Sylfaen" w:eastAsia="Times New Roman" w:hAnsi="Sylfaen" w:cs="Sylfaen"/>
          <w:lang w:val="en-US"/>
        </w:rPr>
        <w:t>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lastRenderedPageBreak/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მრავალფეროვნებით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ეპოქაში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მემორიალური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ფსკერი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ატყვია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ურბანული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ქსოვილი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მოედნების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ეზოების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საინჟინრო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ფრაგმენტი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წარსულში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ამჟამად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გამოცალკევებულია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გამოცალკევებაც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</w:t>
      </w:r>
      <w:r>
        <w:rPr>
          <w:rFonts w:ascii="Sylfaen" w:eastAsia="Times New Roman" w:hAnsi="Sylfaen" w:cs="Sylfaen"/>
          <w:lang w:val="en-US"/>
        </w:rPr>
        <w:t>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დაუზიანებლად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უძრავ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დამაგრებული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როგორიცაა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</w:t>
      </w:r>
      <w:r>
        <w:rPr>
          <w:rFonts w:ascii="Sylfaen" w:eastAsia="Times New Roman" w:hAnsi="Sylfaen" w:cs="Sylfaen"/>
          <w:lang w:val="en-US"/>
        </w:rPr>
        <w:t>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აკნინებს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ჩრდილავს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ინტერპრეტაციასა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დაფასებას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(21.11.2008 N 528)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განაშენიანება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განაშენიანების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აყალიბებს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კონტექსტს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დომინანტური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წარმოჩენას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რეკულტივაცია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შესწავლილი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კონსერვაციის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თავდაპი</w:t>
      </w:r>
      <w:r>
        <w:rPr>
          <w:rFonts w:ascii="Sylfaen" w:eastAsia="Times New Roman" w:hAnsi="Sylfaen" w:cs="Sylfaen"/>
          <w:lang w:val="en-US"/>
        </w:rPr>
        <w:t>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გაწმენდა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ძეგლზე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დაგროვილი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დანამატების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მოშორება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ადაპტაცია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ძეგლში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განპირობებული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გამართლებულია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მეთოდოლოგიურად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შეუქცევადი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ძეგლზე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რეაბილიტაციამდე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პრევენციული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კონსერვაციისას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</w:t>
      </w:r>
      <w:r>
        <w:rPr>
          <w:rFonts w:ascii="Sylfaen" w:eastAsia="Times New Roman" w:hAnsi="Sylfaen" w:cs="Sylfaen"/>
          <w:lang w:val="en-US"/>
        </w:rPr>
        <w:t>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დაუზიანებლად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პატრონობა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დაზიანებისა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</w:t>
      </w:r>
      <w:r>
        <w:rPr>
          <w:rFonts w:ascii="Sylfaen" w:eastAsia="Times New Roman" w:hAnsi="Sylfaen" w:cs="Sylfaen"/>
          <w:lang w:val="en-US"/>
        </w:rPr>
        <w:t>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რესტავრაცია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შემორჩენილი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ავთენტიკური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ფრაგმენტების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თანადროული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რეკონსტრუქცია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დეტალურ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ანაზომებზე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დაყრდნობით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დანგრეული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ფრაგმენტის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</w:t>
      </w:r>
      <w:r>
        <w:rPr>
          <w:rFonts w:ascii="Sylfaen" w:eastAsia="Times New Roman" w:hAnsi="Sylfaen" w:cs="Sylfaen"/>
          <w:lang w:val="en-US"/>
        </w:rPr>
        <w:t>ანდელი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აშენება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რესტავრაციის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რეკონსტრუქციის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გვიანდელი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დანამატების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</w:t>
      </w:r>
      <w:r>
        <w:rPr>
          <w:rFonts w:ascii="Sylfaen" w:eastAsia="Times New Roman" w:hAnsi="Sylfaen" w:cs="Sylfaen"/>
          <w:lang w:val="en-US"/>
        </w:rPr>
        <w:t>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წ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უძრავი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იმგვარი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აუარესებს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</w:t>
      </w:r>
      <w:r>
        <w:rPr>
          <w:rFonts w:ascii="Sylfaen" w:eastAsia="Times New Roman" w:hAnsi="Sylfaen" w:cs="Sylfaen"/>
          <w:color w:val="000000"/>
          <w:lang w:val="ka-GE" w:eastAsia="ka-GE"/>
        </w:rPr>
        <w:t>იათებლებს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ამცირებს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კულტურულ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ესთეტიკურ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მეცნიერულ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ნიშნით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უძრავი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იმგვარი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აუარესებს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ამცირებს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კულტურულ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ესთეტიკურ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მეცნიერულ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ჭ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სპობა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უკარგავს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მიენიჭა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ჭ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ნიშ</w:t>
      </w:r>
      <w:r>
        <w:rPr>
          <w:rFonts w:ascii="Sylfaen" w:eastAsia="Times New Roman" w:hAnsi="Sylfaen" w:cs="Sylfaen"/>
          <w:color w:val="000000"/>
          <w:lang w:val="ka-GE" w:eastAsia="ka-GE"/>
        </w:rPr>
        <w:t>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მოსპობა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ძეგლს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უკარგავს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მიენიჭა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კარი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ეკლესიას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-7,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რიცხვას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>;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</w:t>
      </w:r>
      <w:r>
        <w:rPr>
          <w:rFonts w:ascii="Sylfaen" w:eastAsia="Times New Roman" w:hAnsi="Sylfaen" w:cs="Sylfaen"/>
          <w:lang w:val="ka-GE" w:eastAsia="ka-GE"/>
        </w:rPr>
        <w:t>რამებს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apple-converted-space"/>
          <w:rFonts w:ascii="Sylfaen" w:hAnsi="Sylfaen" w:cs="Sylfaen"/>
          <w:lang w:val="ka-GE" w:eastAsia="ka-GE"/>
        </w:rPr>
        <w:t xml:space="preserve"> (1.06.2017. N906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ვიდეო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ფიქსაციას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</w:t>
      </w:r>
      <w:r>
        <w:rPr>
          <w:rFonts w:ascii="Sylfaen" w:eastAsia="Times New Roman" w:hAnsi="Sylfaen" w:cs="Sylfaen"/>
          <w:lang w:val="ka-GE" w:eastAsia="ka-GE"/>
        </w:rPr>
        <w:t>გირებულ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6908)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</w:t>
      </w:r>
      <w:r>
        <w:rPr>
          <w:rFonts w:ascii="Sylfaen" w:eastAsia="Times New Roman" w:hAnsi="Sylfaen" w:cs="Sylfaen"/>
          <w:lang w:val="ka-GE" w:eastAsia="ka-GE"/>
        </w:rPr>
        <w:t>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მეთოდურ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1972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</w:t>
      </w:r>
      <w:r>
        <w:rPr>
          <w:rFonts w:ascii="Sylfaen" w:eastAsia="Times New Roman" w:hAnsi="Sylfaen" w:cs="Sylfaen"/>
          <w:lang w:val="ka-GE" w:eastAsia="ka-GE"/>
        </w:rPr>
        <w:t>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</w:t>
      </w:r>
      <w:r>
        <w:rPr>
          <w:rFonts w:ascii="Sylfaen" w:eastAsia="Times New Roman" w:hAnsi="Sylfaen" w:cs="Sylfaen"/>
          <w:lang w:val="ka-GE" w:eastAsia="ka-GE"/>
        </w:rPr>
        <w:t>):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მთავრობის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(25.09.2013 N1330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ექსპონირება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(25.09.2013 N1330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ეთნოგრაფიული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მოუფრთხილდნენ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რეჟიმი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აღმოაჩენს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გაუჩნდება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</w:t>
      </w:r>
      <w:r>
        <w:rPr>
          <w:rFonts w:ascii="Sylfaen" w:eastAsia="Times New Roman" w:hAnsi="Sylfaen" w:cs="Sylfaen"/>
          <w:lang w:val="ka-GE" w:eastAsia="ka-GE"/>
        </w:rPr>
        <w:t>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თხრილების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გათხრა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>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მონაპოვრის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რესტავრაცია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კონსერვაცია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ინტერპრეტაცია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გადასაჭრელად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</w:t>
      </w:r>
      <w:r>
        <w:rPr>
          <w:rFonts w:ascii="Sylfaen" w:eastAsia="Times New Roman" w:hAnsi="Sylfaen" w:cs="Sylfaen"/>
          <w:lang w:val="ka-GE" w:eastAsia="ka-GE"/>
        </w:rPr>
        <w:t>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</w:t>
      </w:r>
      <w:r>
        <w:rPr>
          <w:rFonts w:ascii="Sylfaen" w:eastAsia="Times New Roman" w:hAnsi="Sylfaen" w:cs="Sylfaen"/>
          <w:lang w:val="ka-GE" w:eastAsia="ka-GE"/>
        </w:rPr>
        <w:t>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მონაპოვრის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რეკულტივაციის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კლიმატური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მონაპოვარი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ნაკრძალში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მსხვილმასშტაბიან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</w:t>
      </w:r>
      <w:r>
        <w:rPr>
          <w:rFonts w:ascii="Sylfaen" w:eastAsia="Times New Roman" w:hAnsi="Sylfaen" w:cs="Sylfaen"/>
          <w:lang w:val="ka-GE" w:eastAsia="ka-GE"/>
        </w:rPr>
        <w:t>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ბიბლიოგრაფიული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ბიბლიოგრაფიული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კოსმოსური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აეროფოტომასალების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დეშიფრირება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ფოტოფიქსაციის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საკვლევი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დაზვერვით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შურფების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1:25, 1:20), </w:t>
      </w:r>
      <w:r>
        <w:rPr>
          <w:rFonts w:ascii="Sylfaen" w:eastAsia="Times New Roman" w:hAnsi="Sylfaen" w:cs="Sylfaen"/>
          <w:lang w:val="ka-GE" w:eastAsia="ka-GE"/>
        </w:rPr>
        <w:t>სტრატიგრაფიის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საკვლევ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საკვლევ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გასათხრელი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სტრატიგრაფიულ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დათარიღებას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ილუსტრაციების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;               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</w:t>
      </w:r>
      <w:r>
        <w:rPr>
          <w:rFonts w:ascii="Sylfaen" w:eastAsia="Times New Roman" w:hAnsi="Sylfaen" w:cs="Sylfaen"/>
          <w:lang w:val="ka-GE" w:eastAsia="ka-GE"/>
        </w:rPr>
        <w:t>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სიძველესთან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უნიკალურობასთან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ავთენტიკურობასთან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ნიჭოს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ტოპოგრაფიულად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  <w:r>
        <w:rPr>
          <w:rFonts w:ascii="Sylfaen" w:eastAsia="Times New Roman" w:hAnsi="Sylfaen" w:cs="Sylfaen"/>
          <w:lang w:val="ka-GE" w:eastAsia="ka-GE"/>
        </w:rPr>
        <w:t>თავებით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</w:t>
      </w:r>
      <w:r>
        <w:rPr>
          <w:rFonts w:ascii="Sylfaen" w:eastAsia="Times New Roman" w:hAnsi="Sylfaen" w:cs="Sylfaen"/>
          <w:lang w:val="ka-GE" w:eastAsia="ka-GE"/>
        </w:rPr>
        <w:t>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9.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</w:t>
      </w:r>
      <w:r>
        <w:rPr>
          <w:rFonts w:ascii="Sylfaen" w:eastAsia="Times New Roman" w:hAnsi="Sylfaen" w:cs="Sylfaen"/>
          <w:lang w:val="ka-GE" w:eastAsia="ka-GE"/>
        </w:rPr>
        <w:t>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</w:t>
      </w:r>
      <w:r>
        <w:rPr>
          <w:rFonts w:ascii="Sylfaen" w:eastAsia="Times New Roman" w:hAnsi="Sylfaen" w:cs="Sylfaen"/>
          <w:lang w:val="ka-GE" w:eastAsia="ka-GE"/>
        </w:rPr>
        <w:t>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(26.10.2010. N3740)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bookmarkStart w:id="0" w:name="part_25"/>
    <w:bookmarkEnd w:id="0"/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Hyperlink"/>
          <w:rFonts w:ascii="Sylfaen" w:hAnsi="Sylfaen" w:cs="Sylfaen"/>
          <w:noProof/>
          <w:color w:val="auto"/>
          <w:sz w:val="24"/>
          <w:szCs w:val="24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noProof/>
          <w:color w:val="auto"/>
          <w:sz w:val="24"/>
          <w:szCs w:val="24"/>
          <w:u w:val="none"/>
          <w:lang w:val="ka-GE" w:eastAsia="ka-GE"/>
        </w:rPr>
        <w:instrText>HYPERLINK "https://matsne.gov.ge/ka/document/view/21076" \l "!"</w:instrText>
      </w:r>
      <w:r>
        <w:rPr>
          <w:rStyle w:val="Hyperlink"/>
          <w:rFonts w:ascii="Sylfaen" w:hAnsi="Sylfaen" w:cs="Sylfaen"/>
          <w:noProof/>
          <w:color w:val="auto"/>
          <w:sz w:val="24"/>
          <w:szCs w:val="24"/>
          <w:u w:val="none"/>
          <w:lang w:val="ka-GE" w:eastAsia="ka-GE"/>
        </w:rPr>
      </w:r>
      <w:r>
        <w:rPr>
          <w:rStyle w:val="Hyperlink"/>
          <w:rFonts w:ascii="Sylfaen" w:hAnsi="Sylfaen" w:cs="Sylfaen"/>
          <w:noProof/>
          <w:color w:val="auto"/>
          <w:sz w:val="24"/>
          <w:szCs w:val="24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noProof/>
          <w:color w:val="auto"/>
          <w:sz w:val="24"/>
          <w:szCs w:val="24"/>
          <w:u w:val="none"/>
          <w:lang w:val="ka-GE" w:eastAsia="ka-GE"/>
        </w:rPr>
        <w:t>მუხლი 17. ძეგლისთვის ძეგლის სტატუსის მოხსნა</w:t>
      </w:r>
      <w:r>
        <w:rPr>
          <w:rStyle w:val="Hyperlink"/>
          <w:rFonts w:ascii="Sylfaen" w:hAnsi="Sylfaen" w:cs="Sylfaen"/>
          <w:noProof/>
          <w:color w:val="auto"/>
          <w:sz w:val="24"/>
          <w:szCs w:val="24"/>
          <w:u w:val="none"/>
          <w:lang w:val="ka-GE" w:eastAsia="ka-GE"/>
        </w:rPr>
        <w:fldChar w:fldCharType="end"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ძეგლისთვის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ატუსი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მხატვრული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შვნელოვანეს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(25.09.2013 N1330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(25.09.2013 N1330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ტიპოლოგიის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მემორიალური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სულიერი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არქიტექტურის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საპარკო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პალეოგრაფიული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მემორ</w:t>
      </w:r>
      <w:r>
        <w:rPr>
          <w:rFonts w:ascii="Sylfaen" w:eastAsia="Times New Roman" w:hAnsi="Sylfaen" w:cs="Sylfaen"/>
          <w:lang w:val="ka-GE" w:eastAsia="ka-GE"/>
        </w:rPr>
        <w:t>იალური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ეთნოგრაფიული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მრეწველობის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</w:t>
      </w:r>
      <w:r>
        <w:rPr>
          <w:rFonts w:ascii="Sylfaen" w:eastAsia="Times New Roman" w:hAnsi="Sylfaen" w:cs="Sylfaen"/>
          <w:lang w:val="ka-GE" w:eastAsia="ka-GE"/>
        </w:rPr>
        <w:t>ვნა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საანოტაციო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კადასტრსა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კადასტრსა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1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6"/>
          <w:lang w:val="ka-GE" w:eastAsia="ka-GE"/>
        </w:rPr>
        <w:t xml:space="preserve">3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6"/>
          <w:lang w:val="ka-GE" w:eastAsia="ka-GE"/>
        </w:rPr>
        <w:t xml:space="preserve">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6"/>
          <w:lang w:val="ka-GE" w:eastAsia="ka-GE"/>
        </w:rPr>
        <w:t xml:space="preserve">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6"/>
          <w:lang w:val="ka-GE" w:eastAsia="ka-GE"/>
        </w:rPr>
        <w:t xml:space="preserve">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მემორიალურ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ეთნოლოგიურ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მხატვრულ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ესთეტიკურ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ამცირებს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ტიპებად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დაზვერვა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გაწმენდა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კონსერვაცია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რესტავრაცია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ადაპტაცია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21.11.2008 N 528)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დაზვერვა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გაწმენდა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კონსერვაცია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რესტავრაცია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განამარხებულ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საკონსერვაციო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გაწმენდითი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ფრაგმენტებისა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რესტავრაციის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ფრაგმენტებისა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გამოუვლენელი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გაწმენდითი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დანაწევრება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</w:t>
      </w:r>
      <w:r>
        <w:rPr>
          <w:rFonts w:ascii="Sylfaen" w:eastAsia="Times New Roman" w:hAnsi="Sylfaen" w:cs="Sylfaen"/>
          <w:lang w:val="ka-GE" w:eastAsia="ka-GE"/>
        </w:rPr>
        <w:t>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</w:t>
      </w:r>
      <w:r>
        <w:rPr>
          <w:rFonts w:ascii="Sylfaen" w:eastAsia="Times New Roman" w:hAnsi="Sylfaen" w:cs="Sylfaen"/>
          <w:lang w:val="ka-GE" w:eastAsia="ka-GE"/>
        </w:rPr>
        <w:t>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მიმსგავსებულ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ავთენტიკური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დანაწევრება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კონსერ</w:t>
      </w:r>
      <w:r>
        <w:rPr>
          <w:rFonts w:ascii="Sylfaen" w:eastAsia="Times New Roman" w:hAnsi="Sylfaen" w:cs="Sylfaen"/>
          <w:lang w:val="ka-GE" w:eastAsia="ka-GE"/>
        </w:rPr>
        <w:t>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მეთოდურ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ვითნებური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ფრაგმენტების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დანაწევრება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უთანხმოების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(25.09.2013 N1330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დათვალიერებისა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</w:t>
      </w:r>
      <w:r>
        <w:rPr>
          <w:rFonts w:ascii="Sylfaen" w:eastAsia="Times New Roman" w:hAnsi="Sylfaen" w:cs="Sylfaen"/>
          <w:lang w:val="ka-GE" w:eastAsia="ka-GE"/>
        </w:rPr>
        <w:t>ოებს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მუნიციპალიტეტი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არასაცხოვრე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ბინათმესაკუთრეთა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ბინათმესაკუთრეთა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</w:t>
      </w:r>
      <w:r>
        <w:rPr>
          <w:rFonts w:ascii="Sylfaen" w:eastAsia="Times New Roman" w:hAnsi="Sylfaen" w:cs="Sylfaen"/>
          <w:lang w:val="ka-GE" w:eastAsia="ka-GE"/>
        </w:rPr>
        <w:t>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(21.11.2008 N 528)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მუნიციპალიტეტი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>ტოკეფალურ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ეკლესიას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(20.12.2011. N5554)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shd w:val="clear" w:color="auto" w:fill="00FF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.                                                                    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აღმომჩენი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გაფართოების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მოექცეს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პანორამების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კონტექსტ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სეისმური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დიდმასშტაბიანი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ანძების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დიდმასშტაბიანი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სასაწყობო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ხანძარსაშიშია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აჭუჭყიანებს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აუზებს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დაიგეგმოს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ერწყმოდეს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ქალაქგეგმარებითი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საფეხმავლო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განვითარებისაკენ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დემონტაჟი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დემონტაჟი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>. 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>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</w:t>
      </w:r>
      <w:r>
        <w:rPr>
          <w:rFonts w:ascii="Sylfaen" w:eastAsia="Times New Roman" w:hAnsi="Sylfaen" w:cs="Sylfaen"/>
          <w:lang w:val="ka-GE" w:eastAsia="ka-GE"/>
        </w:rPr>
        <w:t>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სიმაღლე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გამრავლებული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ვიბრაციას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ფეთქებად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300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–1000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>უსით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ხედვას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სიმაღლედ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ავთენტიკური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მორფოლოგია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მორფოლოგია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ხასიათ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სილუეტი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იერსახე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ლანდშაფტი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უზრუველყოფა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დეგრადირებული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გააუმჯობესოს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დეგრადირებული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ნგრევის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სიცარიელეები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არაღირებული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გებობები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დისონანსის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კონფიგურაცია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ირგვლივ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ერწყმოდეს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უპირისპირდებოდეს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მორფოლოგიასა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ლანდშაფტურ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6. 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განაშენიანებული</w:t>
      </w:r>
      <w:r>
        <w:rPr>
          <w:rFonts w:ascii="Sylfaen" w:eastAsia="Times New Roman" w:hAnsi="Sylfaen" w:cs="Sylfaen"/>
          <w:lang w:val="ka-GE" w:eastAsia="ka-GE"/>
        </w:rPr>
        <w:t>.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გაფართოება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ავთენტიკური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შემორჩენილია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სივრცობრივ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პანორამებისა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გადმოცემებთან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ფოლკლორთან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რელიეფისა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წყალსატევების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</w:t>
      </w:r>
      <w:r>
        <w:rPr>
          <w:rFonts w:ascii="Sylfaen" w:eastAsia="Times New Roman" w:hAnsi="Sylfaen" w:cs="Sylfaen"/>
          <w:lang w:val="ka-GE" w:eastAsia="ka-GE"/>
        </w:rPr>
        <w:t>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დისონანსის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მდელოებისა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დამეწყვრისა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წალეკვის</w:t>
      </w:r>
      <w:r>
        <w:rPr>
          <w:rFonts w:ascii="Sylfaen" w:eastAsia="Times New Roman" w:hAnsi="Sylfaen" w:cs="Sylfaen"/>
          <w:lang w:val="ka-GE" w:eastAsia="ka-GE"/>
        </w:rPr>
        <w:t>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</w:t>
      </w:r>
      <w:r>
        <w:rPr>
          <w:rFonts w:ascii="Sylfaen" w:eastAsia="Times New Roman" w:hAnsi="Sylfaen" w:cs="Sylfaen"/>
          <w:lang w:val="ka-GE" w:eastAsia="ka-GE"/>
        </w:rPr>
        <w:t>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რელიეფსა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>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გათხრების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დაგროვილი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ფუჭი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დაყრა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(26.12.2014. N3001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სარეკონსტრუქციო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(21.11.2008 N 528)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</w:t>
      </w:r>
      <w:r>
        <w:rPr>
          <w:rFonts w:ascii="Sylfaen" w:eastAsia="Times New Roman" w:hAnsi="Sylfaen" w:cs="Sylfaen"/>
          <w:lang w:val="ka-GE" w:eastAsia="ka-GE"/>
        </w:rPr>
        <w:t>პებიც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>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ზონებზე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ტოპოგრაფიული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ბიბლიოგრაფიული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</w:t>
      </w:r>
      <w:r>
        <w:rPr>
          <w:rFonts w:ascii="Sylfaen" w:eastAsia="Times New Roman" w:hAnsi="Sylfaen" w:cs="Sylfaen"/>
          <w:lang w:val="ka-GE" w:eastAsia="ka-GE"/>
        </w:rPr>
        <w:t>ფოლოგია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სართულიანობა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პანორამებისა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პერსპექტივების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კები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განშლები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პანორამების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ფოტოფიქსაციის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კონტექსტში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</w:t>
      </w:r>
      <w:r>
        <w:rPr>
          <w:rFonts w:ascii="Sylfaen" w:eastAsia="Times New Roman" w:hAnsi="Sylfaen" w:cs="Sylfaen"/>
          <w:lang w:val="ka-GE" w:eastAsia="ka-GE"/>
        </w:rPr>
        <w:t>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ქუჩათა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სინთეზური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</w:t>
      </w:r>
      <w:r>
        <w:rPr>
          <w:rFonts w:ascii="Sylfaen" w:eastAsia="Times New Roman" w:hAnsi="Sylfaen" w:cs="Sylfaen"/>
          <w:lang w:val="ka-GE" w:eastAsia="ka-GE"/>
        </w:rPr>
        <w:t>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ძეგლები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შესანარჩუნებელი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კონფიგურაცია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რიტმი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ფენესტრაცია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არაერთგვაროვან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მიკროუბნისათვის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ირგვლივ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საზღვრებიდან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</w:t>
      </w:r>
      <w:r>
        <w:rPr>
          <w:rFonts w:ascii="Sylfaen" w:eastAsia="Times New Roman" w:hAnsi="Sylfaen" w:cs="Sylfaen"/>
          <w:lang w:val="ka-GE" w:eastAsia="ka-GE"/>
        </w:rPr>
        <w:t>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ტოპოგრაფიული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საკვლევ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1:500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1:200);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რეტროსპექტივა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საკვლევ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ფოტოგანშლები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საკვლევ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მორფოლოგიისა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კონფიგურაციის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ლანდშაფტისა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დეკორატიული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სტილისტურ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სემანტიკურ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ისტორ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კომპოზიციური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საქმიანობებისათვის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50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პავილიონები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ჯიხურები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უსაძირკვლო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საჩრდილობლები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ავტოფარეხები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</w:t>
      </w:r>
      <w:r>
        <w:rPr>
          <w:rFonts w:ascii="Sylfaen" w:eastAsia="Times New Roman" w:hAnsi="Sylfaen" w:cs="Sylfaen"/>
          <w:lang w:val="ka-GE" w:eastAsia="ka-GE"/>
        </w:rPr>
        <w:t>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50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ატრაქციონები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დასასვენებელი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სკამები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ხეივნების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აბრები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სანაგვე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ღობეები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ჭიშკრები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იტრინები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მემორიალური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ქანდაკებების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სვეტები</w:t>
      </w:r>
      <w:r>
        <w:rPr>
          <w:rFonts w:ascii="Sylfaen" w:eastAsia="Times New Roman" w:hAnsi="Sylfaen" w:cs="Sylfaen"/>
          <w:lang w:val="ka-GE" w:eastAsia="ka-GE"/>
        </w:rPr>
        <w:t xml:space="preserve">, 25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შადრევნები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გაბარიტებში</w:t>
      </w:r>
      <w:r>
        <w:rPr>
          <w:rFonts w:ascii="Sylfaen" w:eastAsia="Times New Roman" w:hAnsi="Sylfaen" w:cs="Sylfaen"/>
          <w:lang w:val="ka-GE" w:eastAsia="ka-GE"/>
        </w:rPr>
        <w:t xml:space="preserve">,      50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მიშენება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ფანჯრის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გაჭრა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ამოშენება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დისონანსის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შემშლელ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სახელოსნოს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საწყობს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წარმომქმნელ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წყალსატევების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გამაჭუჭყიანებელ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ქალაქთმშენებლობ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პერსპექტივ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დეგრადირების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ავთენტიკური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</w:t>
      </w:r>
      <w:r>
        <w:rPr>
          <w:rFonts w:ascii="Sylfaen" w:eastAsia="Times New Roman" w:hAnsi="Sylfaen" w:cs="Sylfaen"/>
          <w:lang w:val="ka-GE" w:eastAsia="ka-GE"/>
        </w:rPr>
        <w:t>ნიანება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</w:t>
      </w:r>
      <w:r>
        <w:rPr>
          <w:rFonts w:ascii="Sylfaen" w:eastAsia="Times New Roman" w:hAnsi="Sylfaen" w:cs="Sylfaen"/>
          <w:lang w:val="ka-GE" w:eastAsia="ka-GE"/>
        </w:rPr>
        <w:t>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ურბანული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</w:t>
      </w:r>
      <w:r>
        <w:rPr>
          <w:rFonts w:ascii="Sylfaen" w:eastAsia="Times New Roman" w:hAnsi="Sylfaen" w:cs="Sylfaen"/>
          <w:lang w:val="ka-GE" w:eastAsia="ka-GE"/>
        </w:rPr>
        <w:t>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სარეაბილიტაცი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სირთულის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 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7.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t>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</w:t>
      </w:r>
      <w:r>
        <w:rPr>
          <w:rFonts w:ascii="Sylfaen" w:eastAsia="Times New Roman" w:hAnsi="Sylfaen" w:cs="Sylfaen"/>
          <w:lang w:val="ka-GE" w:eastAsia="ka-GE"/>
        </w:rPr>
        <w:t>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პრობლემის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</w:t>
      </w:r>
      <w:r>
        <w:rPr>
          <w:rFonts w:ascii="Sylfaen" w:eastAsia="Times New Roman" w:hAnsi="Sylfaen" w:cs="Sylfaen"/>
          <w:lang w:val="ka-GE" w:eastAsia="ka-GE"/>
        </w:rPr>
        <w:t>გია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1:1000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1:2000),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თანამგზავრული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GPS </w:t>
      </w:r>
      <w:r>
        <w:rPr>
          <w:rFonts w:ascii="Sylfaen" w:eastAsia="Times New Roman" w:hAnsi="Sylfaen" w:cs="Sylfaen"/>
          <w:lang w:val="ka-GE" w:eastAsia="ka-GE"/>
        </w:rPr>
        <w:t>კოორდინატები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საპროექტო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მასშტაბი</w:t>
      </w:r>
      <w:r>
        <w:rPr>
          <w:rFonts w:ascii="Sylfaen" w:eastAsia="Times New Roman" w:hAnsi="Sylfaen" w:cs="Sylfaen"/>
          <w:lang w:eastAsia="x-none"/>
        </w:rPr>
        <w:t xml:space="preserve"> 1:1000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1:2000), </w:t>
      </w:r>
      <w:r>
        <w:rPr>
          <w:rFonts w:ascii="Sylfaen" w:eastAsia="Times New Roman" w:hAnsi="Sylfaen" w:cs="Sylfaen"/>
          <w:lang w:eastAsia="x-none"/>
        </w:rPr>
        <w:t>ტოპოგრაფიული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მასშტაბი</w:t>
      </w:r>
      <w:r>
        <w:rPr>
          <w:rFonts w:ascii="Sylfaen" w:eastAsia="Times New Roman" w:hAnsi="Sylfaen" w:cs="Sylfaen"/>
          <w:lang w:eastAsia="x-none"/>
        </w:rPr>
        <w:t xml:space="preserve"> 1:500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1:200)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მასშტაბი</w:t>
      </w:r>
      <w:r>
        <w:rPr>
          <w:rFonts w:ascii="Sylfaen" w:eastAsia="Times New Roman" w:hAnsi="Sylfaen" w:cs="Sylfaen"/>
          <w:lang w:eastAsia="x-none"/>
        </w:rPr>
        <w:t xml:space="preserve"> 1:500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1:200)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ლოკალური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ფოტომონტაჟი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ანაზომები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კროკები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1:100, 1:50));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სახელოვნებათმცოდნეო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ბიბლიოგრაფიული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ნატურაში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შესწავლილი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ბიბლიოგრაფიული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საარქივო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საკვლევი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კვადრატებად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ანაზომი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შურფების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კროკები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1:25, 1:20),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ვლევა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შურფების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ლითოგრაფიული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თავსებადობის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ზონდირების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ზონდაჟების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კროკები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1:25, 1:20)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კროკები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შტაბი</w:t>
      </w:r>
      <w:r>
        <w:rPr>
          <w:rFonts w:ascii="Sylfaen" w:eastAsia="Times New Roman" w:hAnsi="Sylfaen" w:cs="Sylfaen"/>
          <w:lang w:val="ka-GE" w:eastAsia="ka-GE"/>
        </w:rPr>
        <w:t xml:space="preserve"> 1:25, 1:20)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კროკები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გამოხაზული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1:25, 1:20)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ჭრილები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1:50, 1:100, 1:200), </w:t>
      </w:r>
      <w:r>
        <w:rPr>
          <w:rFonts w:ascii="Sylfaen" w:eastAsia="Times New Roman" w:hAnsi="Sylfaen" w:cs="Sylfaen"/>
          <w:lang w:val="ka-GE" w:eastAsia="ka-GE"/>
        </w:rPr>
        <w:t>ფრაგმენტებ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1:20, 1:10)), </w:t>
      </w:r>
      <w:r>
        <w:rPr>
          <w:rFonts w:ascii="Sylfaen" w:eastAsia="Times New Roman" w:hAnsi="Sylfaen" w:cs="Sylfaen"/>
          <w:lang w:val="ka-GE" w:eastAsia="ka-GE"/>
        </w:rPr>
        <w:t>ფოტომონტაჟი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ვერტიკალური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1:500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eastAsia="x-none"/>
        </w:rPr>
        <w:t xml:space="preserve"> 1:200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ბარათი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ნახაზები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შაბლონები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1:100, 1:50,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1:1);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ბარათი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1:100, 1:50);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ბარათი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ელექტროგაყვანილობა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წყალმომარაგება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თბომომარაგება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1:100, 1:200)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მიმდევრობ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სამღებრო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კიბეების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დეკორატიული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ელემენტების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სარესტავრაციო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სამღებრო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სარემონტო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გაწმენდის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4"/>
          <w:szCs w:val="24"/>
          <w:u w:val="single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1:1000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1:2000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უახლესი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ნაჩვენებია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სახელოვნებათმცოდნეო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ფოტომონტაჟი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ინტერიერში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სარესტავრაციო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სამღებრო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სპექტრის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შუქფარების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საბურველის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კრამიტი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ლორფინი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№1020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უახლესი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ფოტომასალა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ფოტომონტაჟი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გრაფიკი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11" w:firstLine="686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აბრებისა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შუქფარების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ნიშნულები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პალეოგრაფიული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პრობლემის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1:1000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1:2000), GPS </w:t>
      </w:r>
      <w:r>
        <w:rPr>
          <w:rFonts w:ascii="Sylfaen" w:eastAsia="Times New Roman" w:hAnsi="Sylfaen" w:cs="Sylfaen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</w:t>
      </w:r>
      <w:r>
        <w:rPr>
          <w:rFonts w:ascii="Sylfaen" w:eastAsia="Times New Roman" w:hAnsi="Sylfaen" w:cs="Sylfaen"/>
          <w:lang w:val="ka-GE" w:eastAsia="ka-GE"/>
        </w:rPr>
        <w:t>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ფოტოფიქსაცია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ანაზომი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1:50, 1:25),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1:1), </w:t>
      </w:r>
      <w:r>
        <w:rPr>
          <w:rFonts w:ascii="Sylfaen" w:eastAsia="Times New Roman" w:hAnsi="Sylfaen" w:cs="Sylfaen"/>
          <w:lang w:val="ka-GE" w:eastAsia="ka-GE"/>
        </w:rPr>
        <w:t>შაბლონები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სახელოვნებათმცოდნეო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არქ</w:t>
      </w:r>
      <w:r>
        <w:rPr>
          <w:rFonts w:ascii="Sylfaen" w:eastAsia="Times New Roman" w:hAnsi="Sylfaen" w:cs="Sylfaen"/>
          <w:lang w:val="ka-GE" w:eastAsia="ka-GE"/>
        </w:rPr>
        <w:t>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</w:t>
      </w:r>
      <w:r>
        <w:rPr>
          <w:rFonts w:ascii="Sylfaen" w:eastAsia="Times New Roman" w:hAnsi="Sylfaen" w:cs="Sylfaen"/>
          <w:lang w:val="ka-GE" w:eastAsia="ka-GE"/>
        </w:rPr>
        <w:t>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ოცულობიდან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ფრაგმენტის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რეკულტივაციის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მასშტაბი</w:t>
      </w:r>
      <w:r>
        <w:rPr>
          <w:rFonts w:ascii="Sylfaen" w:eastAsia="Times New Roman" w:hAnsi="Sylfaen" w:cs="Sylfaen"/>
          <w:lang w:val="ka-GE" w:eastAsia="ka-GE"/>
        </w:rPr>
        <w:t xml:space="preserve"> 1:1500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1:500), GPS </w:t>
      </w:r>
      <w:r>
        <w:rPr>
          <w:rFonts w:ascii="Sylfaen" w:eastAsia="Times New Roman" w:hAnsi="Sylfaen" w:cs="Sylfaen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</w:t>
      </w:r>
      <w:r>
        <w:rPr>
          <w:rFonts w:ascii="Sylfaen" w:eastAsia="Times New Roman" w:hAnsi="Sylfaen" w:cs="Sylfaen"/>
          <w:lang w:val="ka-GE" w:eastAsia="ka-GE"/>
        </w:rPr>
        <w:t>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ბიბლიოგრაფიული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არქივებში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კოსმოსური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აეროფოტომასალები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შესასწავლ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სექტორებისა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ექსპედიციის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</w:t>
      </w:r>
      <w:r>
        <w:rPr>
          <w:rFonts w:ascii="Sylfaen" w:eastAsia="Times New Roman" w:hAnsi="Sylfaen" w:cs="Sylfaen"/>
          <w:lang w:val="ka-GE" w:eastAsia="ka-GE"/>
        </w:rPr>
        <w:t>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შეუქცევადი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პრევე</w:t>
      </w:r>
      <w:r>
        <w:rPr>
          <w:rFonts w:ascii="Sylfaen" w:eastAsia="Times New Roman" w:hAnsi="Sylfaen" w:cs="Sylfaen"/>
          <w:lang w:val="ka-GE" w:eastAsia="ka-GE"/>
        </w:rPr>
        <w:t>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ფოტომასალა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</w:t>
      </w:r>
      <w:r>
        <w:rPr>
          <w:rFonts w:ascii="Sylfaen" w:eastAsia="Times New Roman" w:hAnsi="Sylfaen" w:cs="Sylfaen"/>
          <w:lang w:val="ka-GE" w:eastAsia="ka-GE"/>
        </w:rPr>
        <w:t>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რეკულტივაციის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სექტორებისა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ლიფტ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ესკალატორების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10. „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დაუკვეთოს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№5695)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ალბათობისას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</w:t>
      </w:r>
      <w:r>
        <w:rPr>
          <w:rFonts w:ascii="Sylfaen" w:eastAsia="Times New Roman" w:hAnsi="Sylfaen" w:cs="Sylfaen"/>
          <w:lang w:val="ka-GE" w:eastAsia="ka-GE"/>
        </w:rPr>
        <w:t>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ალბათობისას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შეუქცევადი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</w:t>
      </w:r>
      <w:r>
        <w:rPr>
          <w:rFonts w:ascii="Sylfaen" w:eastAsia="Times New Roman" w:hAnsi="Sylfaen" w:cs="Sylfaen"/>
          <w:lang w:val="ka-GE" w:eastAsia="ka-GE"/>
        </w:rPr>
        <w:t>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№6908)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; (20.12.2011. N5553)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შემოწირულებებით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  <w:r>
        <w:rPr>
          <w:rFonts w:ascii="Sylfaen" w:eastAsia="Times New Roman" w:hAnsi="Sylfaen" w:cs="Sylfaen"/>
          <w:lang w:val="ka-GE" w:eastAsia="ka-GE"/>
        </w:rPr>
        <w:t>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(</w:t>
      </w:r>
      <w:r>
        <w:rPr>
          <w:rFonts w:ascii="Sylfaen" w:eastAsia="Times New Roman" w:hAnsi="Sylfaen" w:cs="Sylfaen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ძეგ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საანოტაციო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კულტურუ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3043)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(06.09.2013. N1075)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XIII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N33(40),  1999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167).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>,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,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</w:t>
      </w:r>
      <w:r>
        <w:rPr>
          <w:rFonts w:ascii="Sylfaen" w:eastAsia="Times New Roman" w:hAnsi="Sylfaen" w:cs="Sylfaen"/>
          <w:lang w:val="ka-GE" w:eastAsia="ka-GE"/>
        </w:rPr>
        <w:t>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88021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>.</w:t>
      </w:r>
      <w:bookmarkStart w:id="1" w:name="Temp"/>
      <w:bookmarkEnd w:id="1"/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4708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880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021D"/>
    <w:rsid w:val="008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8"/>
      <w:szCs w:val="28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16892</Words>
  <Characters>96290</Characters>
  <Application>Microsoft Office Word</Application>
  <DocSecurity>0</DocSecurity>
  <Lines>802</Lines>
  <Paragraphs>225</Paragraphs>
  <ScaleCrop>false</ScaleCrop>
  <Company/>
  <LinksUpToDate>false</LinksUpToDate>
  <CharactersWithSpaces>112957</CharactersWithSpaces>
  <SharedDoc>false</SharedDoc>
  <HyperlinkBase>C:\1\N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