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ტერორიზმთან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ბრძოლის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გატაცებითა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წაკიდება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ვდასხმა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(27.11.2013. N1640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დესტაბილიზაცია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(27.11.2013. N1640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XXXVIII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(27.11.2013. N1640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მძევალი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აიძულონ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შეიკავონ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გაუვნებლებისაკენ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u w:val="single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დამყარდეს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მძევალთა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5)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პროპაგანდისტული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ტაქტიკისა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გახმაურების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გარდაუვალობა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 N3960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(27.04.2010 N 2991)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 N3960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მომწამვლელი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კონტრტერორისტულ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N3586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(27.04.2010 N 2991)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აღმკვეთ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გამაფრთხილებელ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მედიკამენტებს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მიაწვდიან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hyperlink r:id="rId4" w:history="1">
        <w:r>
          <w:rPr>
            <w:rStyle w:val="Hyperlink"/>
            <w:rFonts w:ascii="Sylfaen" w:eastAsia="Times New Roman" w:hAnsi="Sylfaen" w:cs="Sylfaen"/>
            <w:color w:val="auto"/>
            <w:sz w:val="24"/>
            <w:szCs w:val="24"/>
            <w:u w:val="none"/>
            <w:lang w:eastAsia="x-none"/>
          </w:rPr>
          <w:t>მუხლი 7. ტერორისტული საქმიანობის შედეგად შექმნილი ექსტრემალური სიტუაციის მართვა</w:t>
        </w:r>
      </w:hyperlink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Hyperlink"/>
          <w:rFonts w:ascii="Sylfaen" w:hAnsi="Sylfaen" w:cs="Sylfaen"/>
          <w:i/>
          <w:iCs/>
          <w:color w:val="auto"/>
          <w:sz w:val="20"/>
          <w:szCs w:val="20"/>
          <w:u w:val="none"/>
          <w:lang w:eastAsia="x-none"/>
        </w:rPr>
        <w:t xml:space="preserve">(20.09.2013. N1266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(08.07.2015 N3960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მიიზიდოს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კავშირგაბმულობისა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5)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ინტენსივობა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 </w:t>
      </w:r>
      <w:r>
        <w:rPr>
          <w:rFonts w:ascii="Sylfaen" w:hAnsi="Sylfaen" w:cs="Sylfaen"/>
          <w:sz w:val="20"/>
          <w:szCs w:val="20"/>
          <w:lang w:val="ka-GE" w:eastAsia="ka-GE"/>
        </w:rPr>
        <w:t>N 69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5)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მოაწყონ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საგუშაგოები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შეუმოწმონ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ქუჩებსა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მოსიარულეთა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რძალვის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შეუმოწმონ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იცოცხლესა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შევიდნენ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შეაღწიონ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სადგომებსა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დაათვალიერონ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მისაყვანად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მისასვლელად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გამოუყენებლობა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დაიშვებიან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სატელევიზიო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რეპორტიორთა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აღიკვეთება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</w:p>
    <w:p w:rsidR="00000000" w:rsidRDefault="00054BC9">
      <w:pPr>
        <w:tabs>
          <w:tab w:val="left" w:pos="6379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415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Style w:val="Hyperlink"/>
          <w:rFonts w:ascii="Sylfaen" w:hAnsi="Sylfaen" w:cs="Sylfaen"/>
          <w:color w:val="auto"/>
          <w:sz w:val="24"/>
          <w:szCs w:val="24"/>
          <w:u w:val="none"/>
          <w:lang w:eastAsia="x-none"/>
        </w:rPr>
        <w:t xml:space="preserve"> </w:t>
      </w:r>
      <w:r>
        <w:rPr>
          <w:rStyle w:val="Hyperlink"/>
          <w:rFonts w:ascii="Sylfaen" w:hAnsi="Sylfaen" w:cs="Sylfaen"/>
          <w:i/>
          <w:iCs/>
          <w:color w:val="auto"/>
          <w:sz w:val="20"/>
          <w:szCs w:val="20"/>
          <w:u w:val="none"/>
          <w:lang w:eastAsia="x-none"/>
        </w:rPr>
        <w:t xml:space="preserve">(20.09.2013. N1266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მონაწილეობისათვის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მონაწილეობისათვის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ისჯებიან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დაუმორჩილებლობა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</w:p>
    <w:p w:rsidR="00000000" w:rsidRDefault="00054BC9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(30.11.2018 N3820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54BC9">
      <w:pPr>
        <w:tabs>
          <w:tab w:val="left" w:pos="9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</w:p>
    <w:p w:rsidR="00000000" w:rsidRDefault="00054BC9">
      <w:pPr>
        <w:pStyle w:val="BodyTextIndent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left="2160"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VIII.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</w:p>
    <w:p w:rsidR="00000000" w:rsidRDefault="00054BC9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pStyle w:val="abzacixml"/>
        <w:spacing w:before="0" w:after="0"/>
        <w:ind w:firstLine="56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t>(</w:t>
      </w:r>
      <w:r>
        <w:rPr>
          <w:rStyle w:val="Hyperlink"/>
          <w:rFonts w:ascii="Sylfaen" w:eastAsia="Times New Roman" w:hAnsi="Sylfaen" w:cs="Sylfaen"/>
          <w:b/>
          <w:bCs/>
          <w:i/>
          <w:iCs/>
          <w:color w:val="auto"/>
          <w:sz w:val="20"/>
          <w:szCs w:val="20"/>
          <w:u w:val="none"/>
          <w:lang w:eastAsia="x-none"/>
        </w:rPr>
        <w:t>სათაური</w:t>
      </w:r>
      <w:r>
        <w:rPr>
          <w:rStyle w:val="Hyperlink"/>
          <w:rFonts w:ascii="Sylfaen" w:eastAsia="Times New Roman" w:hAnsi="Sylfaen" w:cs="Sylfaen"/>
          <w:b/>
          <w:bCs/>
          <w:i/>
          <w:iCs/>
          <w:color w:val="auto"/>
          <w:sz w:val="20"/>
          <w:szCs w:val="20"/>
          <w:u w:val="none"/>
          <w:lang w:eastAsia="x-none"/>
        </w:rPr>
        <w:t xml:space="preserve"> 2</w:t>
      </w:r>
      <w:r>
        <w:rPr>
          <w:rStyle w:val="Hyperlink"/>
          <w:rFonts w:ascii="Sylfaen" w:hAnsi="Sylfaen" w:cs="Sylfaen"/>
          <w:i/>
          <w:iCs/>
          <w:color w:val="auto"/>
          <w:sz w:val="20"/>
          <w:szCs w:val="20"/>
          <w:u w:val="none"/>
          <w:lang w:eastAsia="x-none"/>
        </w:rPr>
        <w:t xml:space="preserve">0.09.2013. N1266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pStyle w:val="abzacixml"/>
        <w:spacing w:before="0" w:after="0"/>
        <w:ind w:firstLine="734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ტერორიზმთან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Style w:val="Hyperlink"/>
          <w:rFonts w:ascii="Sylfaen" w:hAnsi="Sylfaen" w:cs="Sylfaen"/>
          <w:color w:val="auto"/>
          <w:u w:val="none"/>
          <w:lang w:eastAsia="x-none"/>
        </w:rPr>
        <w:t xml:space="preserve"> </w:t>
      </w:r>
      <w:r>
        <w:rPr>
          <w:rStyle w:val="Hyperlink"/>
          <w:rFonts w:ascii="Sylfaen" w:hAnsi="Sylfaen" w:cs="Sylfaen"/>
          <w:i/>
          <w:iCs/>
          <w:color w:val="auto"/>
          <w:sz w:val="20"/>
          <w:szCs w:val="20"/>
          <w:u w:val="none"/>
          <w:lang w:eastAsia="x-none"/>
        </w:rPr>
        <w:t xml:space="preserve">(20.09.2013. N1266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pStyle w:val="abzacixml"/>
        <w:spacing w:before="0" w:after="0"/>
        <w:ind w:firstLine="734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ტერორიზმთან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(30.11.2018 N3820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ერთგვაროვან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054BC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ბრძოლისას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გამოყოფ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ილი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სახსრებისა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ფასეულობების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გამოყენებასა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ხარჯვას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ზედამხედველობს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წევრებსაც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b w:val="0"/>
          <w:bCs w:val="0"/>
          <w:i w:val="0"/>
          <w:iCs w:val="0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IX.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eastAsia="x-none"/>
        </w:rPr>
      </w:pPr>
      <w:hyperlink r:id="rId5" w:history="1">
        <w:r>
          <w:rPr>
            <w:rStyle w:val="Hyperlink"/>
            <w:rFonts w:ascii="Sylfaen" w:eastAsia="Times New Roman" w:hAnsi="Sylfaen" w:cs="Sylfaen"/>
            <w:color w:val="auto"/>
            <w:sz w:val="24"/>
            <w:szCs w:val="24"/>
            <w:u w:val="none"/>
            <w:lang w:eastAsia="x-none"/>
          </w:rPr>
          <w:t>მუხლი 26. გარდამავალი დებულებანი</w:t>
        </w:r>
      </w:hyperlink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Style w:val="Hyperlink"/>
          <w:rFonts w:ascii="Sylfaen" w:hAnsi="Sylfaen" w:cs="Sylfaen"/>
          <w:i/>
          <w:iCs/>
          <w:color w:val="auto"/>
          <w:sz w:val="20"/>
          <w:szCs w:val="20"/>
          <w:u w:val="none"/>
          <w:lang w:eastAsia="x-none"/>
        </w:rPr>
        <w:t xml:space="preserve">(20.09.2013. N1266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4BC9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54BC9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ტერორიზმთან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054BC9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კონტრტერორისტულ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054BC9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ტერორისტული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054BC9">
      <w:pPr>
        <w:pStyle w:val="abzacixml"/>
        <w:spacing w:before="0" w:after="0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ექსტრემალური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</w:t>
      </w:r>
      <w:r>
        <w:rPr>
          <w:rFonts w:ascii="Sylfaen" w:eastAsia="Times New Roman" w:hAnsi="Sylfaen" w:cs="Sylfaen"/>
          <w:lang w:eastAsia="x-none"/>
        </w:rPr>
        <w:t>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054BC9">
      <w:pPr>
        <w:pStyle w:val="abzacixml"/>
        <w:spacing w:before="0" w:after="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ინარჩუნებს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>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054BC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5071 –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054B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 Literaturuly 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4BC9"/>
    <w:rsid w:val="000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 Literaturuly N" w:hAnsi="Geo Literaturuly N" w:cs="Geo Literaturuly N"/>
      <w:sz w:val="28"/>
      <w:szCs w:val="28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tLeast"/>
      <w:ind w:left="720"/>
    </w:pPr>
    <w:rPr>
      <w:rFonts w:ascii="LitNusx" w:hAnsi="LitNusx" w:cs="LitNusx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Geo Literaturuly N"/>
      <w:sz w:val="28"/>
      <w:szCs w:val="28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tLeast"/>
    </w:pPr>
    <w:rPr>
      <w:rFonts w:ascii="LitNusx" w:hAnsi="LitNusx" w:cs="LitNusx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cs="Geo Literaturuly N"/>
      <w:sz w:val="28"/>
      <w:szCs w:val="28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Geo Literaturuly 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cs="Geo Literaturuly 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Geo Literaturuly N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Geo Literaturuly N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21796&amp;lang=ge" TargetMode="External"/><Relationship Id="rId4" Type="http://schemas.openxmlformats.org/officeDocument/2006/relationships/hyperlink" Target="https://matsne.gov.ge/index.php?option=com_ldmssearch&amp;view=docView&amp;id=21796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