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ნარკოტიკული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წინააღმდეგ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ბრძოლის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ნარკომანიის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გამსაღებელთა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ხელყოფისაგან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XXXIII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704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/276-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>(30.11.2018 N377</w:t>
      </w:r>
      <w:r>
        <w:rPr>
          <w:rFonts w:ascii="Sylfaen" w:hAnsi="Sylfaen" w:cs="Sylfaen"/>
          <w:i/>
          <w:iCs/>
          <w:lang w:val="ka-GE" w:eastAsia="ka-GE"/>
        </w:rPr>
        <w:t>6</w:t>
      </w:r>
      <w:r>
        <w:rPr>
          <w:rFonts w:ascii="Sylfaen" w:hAnsi="Sylfaen" w:cs="Sylfaen"/>
          <w:i/>
          <w:iCs/>
          <w:lang w:val="en-US"/>
        </w:rPr>
        <w:t>)</w:t>
      </w:r>
    </w:p>
    <w:p w:rsidR="00000000" w:rsidRDefault="00704301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261-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262-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264-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265-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267-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268-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272-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კანაფის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მარიხუანის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(26.07.2017 N1220)</w:t>
      </w:r>
    </w:p>
    <w:p w:rsidR="00000000" w:rsidRDefault="00704301">
      <w:pPr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გამსაღებელი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261-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კანაფის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მარიხუანის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(26.07.2017 N1220)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XXXIII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ჩამორთმევა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საექიმო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აფთიაქის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 xml:space="preserve">(05.03.2014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04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(15.07.2020 N 69</w:t>
      </w:r>
      <w:r>
        <w:rPr>
          <w:rFonts w:ascii="Sylfaen" w:hAnsi="Sylfaen" w:cs="Sylfaen"/>
          <w:lang w:val="en-US"/>
        </w:rPr>
        <w:t>5</w:t>
      </w:r>
      <w:r>
        <w:rPr>
          <w:rFonts w:ascii="Sylfaen" w:hAnsi="Sylfaen" w:cs="Sylfaen"/>
          <w:lang w:val="ka-GE" w:eastAsia="ka-GE"/>
        </w:rPr>
        <w:t>4)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04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(30.11.2018 N377</w:t>
      </w:r>
      <w:r>
        <w:rPr>
          <w:rFonts w:ascii="Sylfaen" w:hAnsi="Sylfaen" w:cs="Sylfaen"/>
          <w:i/>
          <w:iCs/>
          <w:lang w:val="ka-GE" w:eastAsia="ka-GE"/>
        </w:rPr>
        <w:t>6</w:t>
      </w:r>
      <w:r>
        <w:rPr>
          <w:rFonts w:ascii="Sylfaen" w:hAnsi="Sylfaen" w:cs="Sylfaen"/>
          <w:i/>
          <w:iCs/>
          <w:lang w:val="en-US"/>
        </w:rPr>
        <w:t>)</w:t>
      </w:r>
    </w:p>
    <w:p w:rsidR="00000000" w:rsidRDefault="00704301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.(</w:t>
      </w:r>
      <w:r>
        <w:rPr>
          <w:rFonts w:ascii="Sylfaen" w:hAnsi="Sylfaen" w:cs="Sylfaen"/>
          <w:i/>
          <w:iCs/>
          <w:lang w:eastAsia="x-none"/>
        </w:rPr>
        <w:t xml:space="preserve">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704301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(05.03.2014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გამსაღებელს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(25.02.2011. N4257)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04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გამსაღებლისათვის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(16.03.2021 N368)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ჩამორთმევა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XLIV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ათვლა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აღდგენა</w:t>
      </w:r>
    </w:p>
    <w:p w:rsidR="00000000" w:rsidRDefault="00704301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გამსაღებლისათვის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704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ყოფაქცევის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შეუმციროს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(29.11.2019 N5397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704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(30.11.2018 N377</w:t>
      </w:r>
      <w:r>
        <w:rPr>
          <w:rFonts w:ascii="Sylfaen" w:hAnsi="Sylfaen" w:cs="Sylfaen"/>
          <w:i/>
          <w:iCs/>
          <w:lang w:val="ka-GE" w:eastAsia="ka-GE"/>
        </w:rPr>
        <w:t>6</w:t>
      </w:r>
      <w:r>
        <w:rPr>
          <w:rFonts w:ascii="Sylfaen" w:hAnsi="Sylfaen" w:cs="Sylfaen"/>
          <w:i/>
          <w:iCs/>
          <w:lang w:val="en-US"/>
        </w:rPr>
        <w:t>)</w:t>
      </w:r>
    </w:p>
    <w:p w:rsidR="00000000" w:rsidRDefault="00704301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(27.03.2012. N5924)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704301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გამსაღებლის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704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გამსაღებლისათვის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(05.03.2014 N2044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>(17.03.2020 N57</w:t>
      </w:r>
      <w:r>
        <w:rPr>
          <w:rFonts w:ascii="Sylfaen" w:hAnsi="Sylfaen" w:cs="Sylfaen"/>
          <w:i/>
          <w:iCs/>
          <w:lang w:val="ka-GE" w:eastAsia="ka-GE"/>
        </w:rPr>
        <w:t>70</w:t>
      </w:r>
      <w:r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მაისიდან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70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7043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N 5183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:rsidR="00000000" w:rsidRDefault="007043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4301"/>
    <w:rsid w:val="007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  <w:rPr>
      <w:sz w:val="16"/>
      <w:szCs w:val="16"/>
    </w:rPr>
  </w:style>
  <w:style w:type="character" w:customStyle="1" w:styleId="CharChar">
    <w:name w:val="Char Char"/>
    <w:basedOn w:val="DefaultParagraphFont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