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გრანტების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დებულებები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მიღებისა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გრანტი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(12.07.2013 N 819)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გრანტი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გრან</w:t>
      </w:r>
      <w:r>
        <w:rPr>
          <w:rFonts w:ascii="Sylfaen" w:eastAsia="Times New Roman" w:hAnsi="Sylfaen" w:cs="Sylfaen"/>
          <w:lang w:val="en-US"/>
        </w:rPr>
        <w:t>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დონორის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უსასყიდლოდ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ნატურალური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ჰუმანური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გრანტად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ინოვაციების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</w:t>
      </w:r>
      <w:r>
        <w:rPr>
          <w:rFonts w:ascii="Sylfaen" w:eastAsia="Times New Roman" w:hAnsi="Sylfaen" w:cs="Sylfaen"/>
          <w:lang w:val="ka-GE" w:eastAsia="ka-GE"/>
        </w:rPr>
        <w:t>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(22.06.2016. N5502)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გრანტად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მისაღწევად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კოოპერატივის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კოოპერატივის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მისაღწევად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E76D0A">
      <w:pPr>
        <w:pStyle w:val="muxlixml"/>
        <w:spacing w:line="20" w:lineRule="atLeast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(13.10.2011. N5125)</w:t>
      </w:r>
    </w:p>
    <w:p w:rsidR="00000000" w:rsidRDefault="00E76D0A">
      <w:pPr>
        <w:pStyle w:val="abzacixml"/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76D0A">
      <w:pPr>
        <w:pStyle w:val="abzacixml"/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ფედერაცია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76D0A">
      <w:pPr>
        <w:pStyle w:val="abzacixml"/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დაგროვება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სწავლების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გასაუმჯობესებლად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სწავლასთან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დასაფინანსებლად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უმცირესობებით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კომპაქტურად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მაღალმთიან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ახალგაზრდული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დასაფინანსებლად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დასაქმების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სტიქიური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ოჯახთა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ეკომიგრანტთა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საარსებო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თავშესაფრის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მიგრანტთა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სარეინტეგრაციო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რეფორმებისა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ინოვაციების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</w:t>
      </w:r>
      <w:r>
        <w:rPr>
          <w:rFonts w:ascii="Sylfaen" w:eastAsia="Times New Roman" w:hAnsi="Sylfaen" w:cs="Sylfaen"/>
          <w:lang w:val="en-US"/>
        </w:rPr>
        <w:t>ლარიზაცია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დამკვიდრების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პარტნიორი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კატასტროფების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აღმოფხვრაში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კოოპერატივების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ხელშემწყობი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(11.12.2019 N5469)</w:t>
      </w:r>
    </w:p>
    <w:p w:rsidR="00000000" w:rsidRDefault="00E76D0A">
      <w:pPr>
        <w:pStyle w:val="abzacixml"/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(30.11.2017. N1393)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აფხაზეთის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ხალგაზრდული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დასაქმების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(12.04.2022 N1483)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გრანტის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(30.11.2017. N1393)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(14.12.2006 N3974)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E76D0A">
      <w:pPr>
        <w:spacing w:line="20" w:lineRule="atLeast"/>
        <w:ind w:firstLine="709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(06.09.2013. N1047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lastRenderedPageBreak/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(15.07.2020 N6892)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</w:t>
      </w:r>
      <w:r>
        <w:rPr>
          <w:rFonts w:ascii="Sylfaen" w:eastAsia="Times New Roman" w:hAnsi="Sylfaen" w:cs="Sylfaen"/>
          <w:lang w:val="ka-GE" w:eastAsia="ka-GE"/>
        </w:rPr>
        <w:t>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განყოფილება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E76D0A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(1.07.2011 N 4996)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რუსთაველის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საგრანტო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(28.06.2017. N1114)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ცხინვალის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(21.07.2010 N 3566)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(15.05.2012 N 6172)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ოოპერატივის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(12.07.2013 N 819)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ინოვაციების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(22.06.2016. N5502)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(08.05.2019.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№4589)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№4240)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№3293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ბიზნესომბუდსმენი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(28.05.2015. N3615)</w:t>
      </w: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გრანტის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დონორსა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მოცულობას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დონორი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გრანტი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დონორის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>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სხვადასხვ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წამოჭრილი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მოურიგებლობის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გრანტის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დაბეგვრა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დაბეგვრის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დაბეგვრის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(10.06.2016. N5419)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E76D0A">
      <w:pPr>
        <w:spacing w:line="20" w:lineRule="atLeast"/>
        <w:jc w:val="center"/>
        <w:rPr>
          <w:rFonts w:ascii="Sylfaen" w:eastAsia="Times New Roma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IV</w:t>
      </w:r>
    </w:p>
    <w:p w:rsidR="00000000" w:rsidRDefault="00E76D0A">
      <w:pPr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(10.06.2016. N54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19)</w:t>
      </w:r>
    </w:p>
    <w:p w:rsidR="00000000" w:rsidRDefault="00E76D0A">
      <w:pPr>
        <w:spacing w:line="20" w:lineRule="atLeast"/>
        <w:ind w:firstLine="709"/>
        <w:jc w:val="center"/>
        <w:rPr>
          <w:rFonts w:ascii="Sylfaen" w:hAnsi="Sylfaen" w:cs="Sylfaen"/>
          <w:color w:val="000000"/>
          <w:lang w:val="ka-GE" w:eastAsia="ka-GE"/>
        </w:rPr>
      </w:pPr>
    </w:p>
    <w:p w:rsidR="00000000" w:rsidRDefault="00E76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(17.05.2017. N849)</w:t>
      </w:r>
    </w:p>
    <w:p w:rsidR="00000000" w:rsidRDefault="00E76D0A">
      <w:pPr>
        <w:spacing w:line="20" w:lineRule="atLeast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გრანტად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აწარმოე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აწარმოე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№365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აწარმოე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მიკრო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E76D0A">
      <w:pPr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</w:p>
    <w:p w:rsidR="00000000" w:rsidRDefault="00E76D0A">
      <w:pPr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10. </w:t>
      </w:r>
      <w:r>
        <w:rPr>
          <w:rFonts w:ascii="Sylfaen" w:eastAsia="Times New Roman" w:hAnsi="Sylfaen" w:cs="Sylfaen"/>
          <w:color w:val="000000"/>
          <w:lang w:val="ka-GE" w:eastAsia="ka-GE"/>
        </w:rPr>
        <w:t>უკუძალა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(10.06.2016. N5419)</w:t>
      </w:r>
    </w:p>
    <w:p w:rsidR="00000000" w:rsidRDefault="00E76D0A">
      <w:pPr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-9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E76D0A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E76D0A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eastAsia="x-none"/>
        </w:rPr>
        <w:t xml:space="preserve">     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11.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(10.06.2016. N5419)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  <w:r>
        <w:rPr>
          <w:rFonts w:ascii="Sylfaen" w:hAnsi="Sylfaen" w:cs="Sylfaen"/>
          <w:b/>
          <w:bCs/>
          <w:i/>
          <w:iCs/>
          <w:lang w:val="en-US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1996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28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N 331 - II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E76D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76D0A"/>
    <w:rsid w:val="00E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</w:tabs>
      <w:spacing w:line="360" w:lineRule="auto"/>
      <w:ind w:firstLine="720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bzacixmlChar">
    <w:name w:val="abzaci_xml Char"/>
    <w:basedOn w:val="DefaultParagraphFont"/>
    <w:uiPriority w:val="99"/>
    <w:rPr>
      <w:rFonts w:cs="Sylfae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