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ჰუმანიზმის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N41(48),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209)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განსასჯელ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</w:t>
      </w:r>
      <w:r>
        <w:rPr>
          <w:rFonts w:ascii="Sylfaen" w:hAnsi="Sylfaen" w:cs="Sylfaen"/>
        </w:rPr>
        <w:t>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NI,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10)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,   1995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პასუხისგებაში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ძებნა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განსასჯელი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N41(48),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209)  113-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130-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203-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243-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275-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279-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-300, 301-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302-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344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356-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358-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361-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377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383-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384-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385-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390-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–403-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118-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276-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388-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389-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. 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წი</w:t>
      </w:r>
      <w:r>
        <w:rPr>
          <w:rFonts w:ascii="Sylfaen" w:hAnsi="Sylfaen" w:cs="Sylfaen"/>
        </w:rPr>
        <w:t>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დაიწყოს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210-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</w:t>
      </w:r>
      <w:r>
        <w:rPr>
          <w:rFonts w:ascii="Sylfaen" w:hAnsi="Sylfaen" w:cs="Sylfaen"/>
        </w:rPr>
        <w:t>ლით</w:t>
      </w:r>
      <w:r>
        <w:rPr>
          <w:rFonts w:ascii="Sylfaen" w:hAnsi="Sylfaen" w:cs="Sylfaen"/>
        </w:rPr>
        <w:t>,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276-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-4–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388-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389-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</w:t>
      </w:r>
      <w:r>
        <w:rPr>
          <w:rFonts w:ascii="Sylfaen" w:hAnsi="Sylfaen" w:cs="Sylfaen"/>
        </w:rPr>
        <w:t>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. 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</w:t>
      </w:r>
      <w:r>
        <w:rPr>
          <w:rFonts w:ascii="Sylfaen" w:hAnsi="Sylfaen" w:cs="Sylfaen"/>
        </w:rPr>
        <w:t>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მოეხსნებათ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27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1995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პასუხისგებაში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NI,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10) 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65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-80, 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96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104-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105-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108-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110-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>), 116-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117-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133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149-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189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19</w:t>
      </w:r>
      <w:r>
        <w:rPr>
          <w:rFonts w:ascii="Sylfaen" w:hAnsi="Sylfaen" w:cs="Sylfaen"/>
        </w:rPr>
        <w:t>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228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240-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241-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>), 243-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-4–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>), 264-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282-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ძებნა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ძებნა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</w:rPr>
        <w:t>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ნოემბრამდე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</w:t>
      </w:r>
      <w:r>
        <w:rPr>
          <w:rFonts w:ascii="Sylfaen" w:hAnsi="Sylfaen" w:cs="Sylfaen"/>
        </w:rPr>
        <w:t>ეტილებებს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განსასჯელის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განსასჯელს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განსასჯელის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სამართალწარმოება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დასრულებულა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. 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დასრულებულ</w:t>
      </w:r>
      <w:r>
        <w:rPr>
          <w:rFonts w:ascii="Sylfaen" w:hAnsi="Sylfaen" w:cs="Sylfaen"/>
        </w:rPr>
        <w:t>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გამომტანი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უფლე</w:t>
      </w:r>
      <w:r>
        <w:rPr>
          <w:rFonts w:ascii="Sylfaen" w:hAnsi="Sylfaen" w:cs="Sylfaen"/>
        </w:rPr>
        <w:t>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. 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</w:t>
      </w:r>
      <w:r>
        <w:rPr>
          <w:rFonts w:ascii="Sylfaen" w:hAnsi="Sylfaen" w:cs="Sylfaen"/>
        </w:rPr>
        <w:t>იდენტის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შემსრულებელი</w:t>
      </w:r>
      <w:r>
        <w:rPr>
          <w:rFonts w:ascii="Sylfaen" w:hAnsi="Sylfaen" w:cs="Sylfaen"/>
        </w:rPr>
        <w:t xml:space="preserve">             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  <w:b/>
          <w:bCs/>
          <w:i/>
          <w:iCs/>
        </w:rPr>
        <w:t>ნინო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ბურჯანაძე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bookmarkStart w:id="0" w:name="Temp"/>
      <w:bookmarkEnd w:id="0"/>
      <w:r>
        <w:rPr>
          <w:rFonts w:ascii="Sylfaen" w:hAnsi="Sylfaen" w:cs="Sylfaen"/>
        </w:rPr>
        <w:t xml:space="preserve">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29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5509 – </w:t>
      </w:r>
      <w:r>
        <w:rPr>
          <w:rFonts w:ascii="Sylfaen" w:hAnsi="Sylfaen" w:cs="Sylfaen"/>
        </w:rPr>
        <w:t>რს</w:t>
      </w:r>
    </w:p>
    <w:p w:rsidR="00000000" w:rsidRDefault="006B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5410"/>
    <w:rsid w:val="006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uiPriority w:val="99"/>
    <w:pPr>
      <w:spacing w:after="200"/>
      <w:jc w:val="both"/>
    </w:pPr>
    <w:rPr>
      <w:rFonts w:ascii="SPParliament" w:hAnsi="SPParliament" w:cs="SPParliament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Base>C:\2\nomrianebi\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