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90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990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990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ადმინისტრაციული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სახდელისაგან</w:t>
      </w:r>
      <w:r>
        <w:rPr>
          <w:rFonts w:ascii="Sylfaen" w:hAnsi="Sylfaen" w:cs="Sylfaen"/>
          <w:b/>
          <w:bCs/>
          <w:sz w:val="32"/>
          <w:szCs w:val="32"/>
        </w:rPr>
        <w:t xml:space="preserve">  </w:t>
      </w:r>
    </w:p>
    <w:p w:rsidR="00000000" w:rsidRDefault="00990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განთავისუფლების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990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hAnsi="Sylfaen" w:cs="Sylfaen"/>
        </w:rPr>
      </w:pPr>
    </w:p>
    <w:p w:rsidR="00000000" w:rsidRDefault="00990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 </w:t>
      </w:r>
    </w:p>
    <w:p w:rsidR="00000000" w:rsidRDefault="00990F1E">
      <w:pPr>
        <w:numPr>
          <w:ilvl w:val="0"/>
          <w:numId w:val="1"/>
        </w:num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ერთჯერადი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ხასიათის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სახდელისაგან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განთავისუფლება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</w:t>
      </w:r>
      <w:r>
        <w:rPr>
          <w:rFonts w:ascii="Sylfaen" w:hAnsi="Sylfaen" w:cs="Sylfaen"/>
        </w:rPr>
        <w:t>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სსრ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უწყებები</w:t>
      </w:r>
      <w:r>
        <w:rPr>
          <w:rFonts w:ascii="Sylfaen" w:hAnsi="Sylfaen" w:cs="Sylfaen"/>
        </w:rPr>
        <w:t xml:space="preserve">, N12, 1984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 xml:space="preserve">,  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 421)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ჩაიდინეს</w:t>
      </w:r>
      <w:r>
        <w:rPr>
          <w:rFonts w:ascii="Sylfaen" w:hAnsi="Sylfaen" w:cs="Sylfaen"/>
        </w:rPr>
        <w:t xml:space="preserve"> 2007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დეკემბრამდე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აღსრულებულა</w:t>
      </w:r>
      <w:r>
        <w:rPr>
          <w:rFonts w:ascii="Sylfaen" w:hAnsi="Sylfaen" w:cs="Sylfaen"/>
        </w:rPr>
        <w:t>.</w:t>
      </w:r>
    </w:p>
    <w:p w:rsidR="00000000" w:rsidRDefault="00990F1E">
      <w:pPr>
        <w:tabs>
          <w:tab w:val="left" w:pos="54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სახდელისაგან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განთავისუფლება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58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79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, 79</w:t>
      </w:r>
      <w:r>
        <w:rPr>
          <w:rFonts w:ascii="Sylfaen" w:hAnsi="Sylfaen" w:cs="Sylfaen"/>
          <w:position w:val="12"/>
        </w:rPr>
        <w:t>2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86-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ნაწილებით</w:t>
      </w:r>
      <w:r>
        <w:rPr>
          <w:rFonts w:ascii="Sylfaen" w:hAnsi="Sylfaen" w:cs="Sylfaen"/>
        </w:rPr>
        <w:t>, 88-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100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>,  114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, 129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, 144</w:t>
      </w:r>
      <w:r>
        <w:rPr>
          <w:rFonts w:ascii="Sylfaen" w:hAnsi="Sylfaen" w:cs="Sylfaen"/>
          <w:position w:val="12"/>
        </w:rPr>
        <w:t>3</w:t>
      </w:r>
      <w:r>
        <w:rPr>
          <w:rFonts w:ascii="Sylfaen" w:hAnsi="Sylfaen" w:cs="Sylfaen"/>
        </w:rPr>
        <w:t>, 144</w:t>
      </w:r>
      <w:r>
        <w:rPr>
          <w:rFonts w:ascii="Sylfaen" w:hAnsi="Sylfaen" w:cs="Sylfaen"/>
          <w:position w:val="12"/>
        </w:rPr>
        <w:t>4</w:t>
      </w:r>
      <w:r>
        <w:rPr>
          <w:rFonts w:ascii="Sylfaen" w:hAnsi="Sylfaen" w:cs="Sylfaen"/>
        </w:rPr>
        <w:t>, 144</w:t>
      </w:r>
      <w:r>
        <w:rPr>
          <w:rFonts w:ascii="Sylfaen" w:hAnsi="Sylfaen" w:cs="Sylfaen"/>
          <w:position w:val="12"/>
        </w:rPr>
        <w:t>5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150-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ნაწილებით</w:t>
      </w:r>
      <w:r>
        <w:rPr>
          <w:rFonts w:ascii="Sylfaen" w:hAnsi="Sylfaen" w:cs="Sylfaen"/>
        </w:rPr>
        <w:t>, 150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ნაწილებით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152-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-2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ნაწილებით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155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ნაწილებით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164</w:t>
      </w:r>
      <w:r>
        <w:rPr>
          <w:rFonts w:ascii="Sylfaen" w:hAnsi="Sylfaen" w:cs="Sylfaen"/>
          <w:position w:val="12"/>
        </w:rPr>
        <w:t>5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179</w:t>
      </w:r>
      <w:r>
        <w:rPr>
          <w:rFonts w:ascii="Sylfaen" w:hAnsi="Sylfaen" w:cs="Sylfaen"/>
          <w:position w:val="12"/>
        </w:rPr>
        <w:t xml:space="preserve">3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</w:t>
      </w:r>
      <w:r>
        <w:rPr>
          <w:rFonts w:ascii="Sylfaen" w:hAnsi="Sylfaen" w:cs="Sylfaen"/>
        </w:rPr>
        <w:t>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სამართალდარღვევებზე</w:t>
      </w:r>
      <w:r>
        <w:rPr>
          <w:rFonts w:ascii="Sylfaen" w:hAnsi="Sylfaen" w:cs="Sylfaen"/>
        </w:rPr>
        <w:t xml:space="preserve">.  </w:t>
      </w:r>
    </w:p>
    <w:p w:rsidR="00000000" w:rsidRDefault="00990F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990F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  </w:t>
      </w:r>
    </w:p>
    <w:p w:rsidR="00000000" w:rsidRDefault="00990F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სახდელისაგან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განთავისუფლება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გულისხმობს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განთავისუფლებას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ისე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სახდელისაგან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საურა</w:t>
      </w:r>
      <w:r>
        <w:rPr>
          <w:rFonts w:ascii="Sylfaen" w:hAnsi="Sylfaen" w:cs="Sylfaen"/>
        </w:rPr>
        <w:t>ვისაგან</w:t>
      </w:r>
      <w:r>
        <w:rPr>
          <w:rFonts w:ascii="Sylfaen" w:hAnsi="Sylfaen" w:cs="Sylfaen"/>
        </w:rPr>
        <w:t>.</w:t>
      </w:r>
    </w:p>
    <w:p w:rsidR="00000000" w:rsidRDefault="00990F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სახდელისაგან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განთავისუფლება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ისე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სახდელის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საურავის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აღუსრულებელ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ნაწილზე</w:t>
      </w:r>
      <w:r>
        <w:rPr>
          <w:rFonts w:ascii="Sylfaen" w:hAnsi="Sylfaen" w:cs="Sylfaen"/>
        </w:rPr>
        <w:t xml:space="preserve">. </w:t>
      </w:r>
    </w:p>
    <w:p w:rsidR="00000000" w:rsidRDefault="00990F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</w:t>
      </w:r>
    </w:p>
    <w:p w:rsidR="00000000" w:rsidRDefault="00990F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 </w:t>
      </w:r>
    </w:p>
    <w:p w:rsidR="00000000" w:rsidRDefault="00990F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დმინისტრაციულ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სახდელისაგან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გადაწყვიტონ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</w:t>
      </w:r>
    </w:p>
    <w:p w:rsidR="00000000" w:rsidRDefault="00990F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დაწესებულებებმა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შეწყვიტონ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მიკუთვნებული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აღსრულება</w:t>
      </w:r>
      <w:r>
        <w:rPr>
          <w:rFonts w:ascii="Sylfaen" w:hAnsi="Sylfaen" w:cs="Sylfaen"/>
        </w:rPr>
        <w:t>.</w:t>
      </w:r>
    </w:p>
    <w:p w:rsidR="00000000" w:rsidRDefault="00990F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990F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 </w:t>
      </w:r>
    </w:p>
    <w:p w:rsidR="00000000" w:rsidRDefault="00990F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>.</w:t>
      </w:r>
    </w:p>
    <w:p w:rsidR="00000000" w:rsidRDefault="00990F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990F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990F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990F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990F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23 </w:t>
      </w:r>
      <w:r>
        <w:rPr>
          <w:rFonts w:ascii="Sylfaen" w:hAnsi="Sylfaen" w:cs="Sylfaen"/>
        </w:rPr>
        <w:t>ოქტომბერი</w:t>
      </w:r>
      <w:r>
        <w:rPr>
          <w:rFonts w:ascii="Sylfaen" w:hAnsi="Sylfaen" w:cs="Sylfaen"/>
        </w:rPr>
        <w:t>.</w:t>
      </w:r>
    </w:p>
    <w:p w:rsidR="00000000" w:rsidRDefault="00990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N 405 – II</w:t>
      </w:r>
      <w:r>
        <w:rPr>
          <w:rFonts w:ascii="Sylfaen" w:hAnsi="Sylfaen" w:cs="Sylfaen"/>
        </w:rPr>
        <w:t>ს</w:t>
      </w:r>
    </w:p>
    <w:p w:rsidR="00000000" w:rsidRDefault="00990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lvl w:ilvl="0">
      <w:start w:val="1"/>
      <w:numFmt w:val="decimal"/>
      <w:lvlText w:val="%1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 w16cid:durableId="124021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90F1E"/>
    <w:rsid w:val="0099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