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b/>
          <w:bCs/>
          <w:sz w:val="32"/>
          <w:szCs w:val="32"/>
          <w:u w:val="single"/>
        </w:rPr>
      </w:pP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ოპერატიულ</w:t>
      </w:r>
      <w:r>
        <w:rPr>
          <w:rFonts w:ascii="Sylfaen" w:hAnsi="Sylfaen" w:cs="Sylfaen"/>
          <w:b/>
          <w:bCs/>
          <w:sz w:val="32"/>
          <w:szCs w:val="32"/>
        </w:rPr>
        <w:t>-</w:t>
      </w:r>
      <w:r>
        <w:rPr>
          <w:rFonts w:ascii="Sylfaen" w:hAnsi="Sylfaen" w:cs="Sylfaen"/>
          <w:b/>
          <w:bCs/>
          <w:sz w:val="32"/>
          <w:szCs w:val="32"/>
        </w:rPr>
        <w:t>სამძებრო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საქმიანობის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1. „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N14(21),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61) </w:t>
      </w:r>
      <w:r>
        <w:rPr>
          <w:rFonts w:ascii="Sylfaen" w:hAnsi="Sylfaen" w:cs="Sylfaen"/>
          <w:sz w:val="24"/>
          <w:szCs w:val="24"/>
        </w:rPr>
        <w:t>შეტანი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>რგანოებს</w:t>
      </w:r>
      <w:r>
        <w:rPr>
          <w:rFonts w:ascii="Sylfaen" w:hAnsi="Sylfaen" w:cs="Sylfaen"/>
          <w:sz w:val="24"/>
          <w:szCs w:val="24"/>
        </w:rPr>
        <w:t xml:space="preserve">  (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ეკრძალებათ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აღმასრულებელი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ხელისუფლების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აფხაზეთისა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რელიგიური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ისახავს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წყობილების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დამხობას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</w:t>
      </w:r>
      <w:r>
        <w:rPr>
          <w:rFonts w:ascii="Sylfaen" w:hAnsi="Sylfaen" w:cs="Sylfaen"/>
          <w:sz w:val="24"/>
          <w:szCs w:val="24"/>
        </w:rPr>
        <w:t>ლადობით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ხელყოფას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ეწევიან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პროპაგანდას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აღვივებენ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კუთხურ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რელიგიურ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შუღლს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</w:t>
      </w:r>
      <w:r>
        <w:rPr>
          <w:rFonts w:ascii="Sylfaen" w:hAnsi="Sylfaen" w:cs="Sylfaen"/>
          <w:sz w:val="24"/>
          <w:szCs w:val="24"/>
        </w:rPr>
        <w:t>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მაკომპრომეტირებელ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გახმაურდეს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</w:t>
      </w:r>
      <w:r>
        <w:rPr>
          <w:rFonts w:ascii="Sylfaen" w:hAnsi="Sylfaen" w:cs="Sylfaen"/>
          <w:sz w:val="24"/>
          <w:szCs w:val="24"/>
        </w:rPr>
        <w:t>ააღმდეგ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განადგურდეს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ჩატარდეს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უზენაესი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</w:t>
      </w:r>
      <w:r>
        <w:rPr>
          <w:rFonts w:ascii="Sylfaen" w:hAnsi="Sylfaen" w:cs="Sylfaen"/>
          <w:sz w:val="24"/>
          <w:szCs w:val="24"/>
        </w:rPr>
        <w:t>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მოტივირებული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</w:t>
      </w:r>
      <w:r>
        <w:rPr>
          <w:rFonts w:ascii="Sylfaen" w:hAnsi="Sylfaen" w:cs="Sylfaen"/>
          <w:sz w:val="24"/>
          <w:szCs w:val="24"/>
        </w:rPr>
        <w:t>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სანქციონირებული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გაგრძელდეს</w:t>
      </w:r>
      <w:r>
        <w:rPr>
          <w:rFonts w:ascii="Sylfaen" w:hAnsi="Sylfaen" w:cs="Sylfaen"/>
          <w:sz w:val="24"/>
          <w:szCs w:val="24"/>
        </w:rPr>
        <w:t xml:space="preserve"> 9 </w:t>
      </w:r>
      <w:r>
        <w:rPr>
          <w:rFonts w:ascii="Sylfaen" w:hAnsi="Sylfaen" w:cs="Sylfaen"/>
          <w:sz w:val="24"/>
          <w:szCs w:val="24"/>
        </w:rPr>
        <w:t>თვემდე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 </w:t>
      </w:r>
      <w:r>
        <w:rPr>
          <w:rFonts w:ascii="Sylfaen" w:hAnsi="Sylfaen" w:cs="Sylfaen"/>
          <w:sz w:val="24"/>
          <w:szCs w:val="24"/>
        </w:rPr>
        <w:t>განსაკუთრებულ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</w:t>
      </w:r>
      <w:r>
        <w:rPr>
          <w:rFonts w:ascii="Sylfaen" w:hAnsi="Sylfaen" w:cs="Sylfaen"/>
          <w:sz w:val="24"/>
          <w:szCs w:val="24"/>
        </w:rPr>
        <w:t>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სანქციონირებული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უმეტეს</w:t>
      </w:r>
      <w:r>
        <w:rPr>
          <w:rFonts w:ascii="Sylfaen" w:hAnsi="Sylfaen" w:cs="Sylfaen"/>
          <w:sz w:val="24"/>
          <w:szCs w:val="24"/>
        </w:rPr>
        <w:t xml:space="preserve"> 12 </w:t>
      </w:r>
      <w:r>
        <w:rPr>
          <w:rFonts w:ascii="Sylfaen" w:hAnsi="Sylfaen" w:cs="Sylfaen"/>
          <w:sz w:val="24"/>
          <w:szCs w:val="24"/>
        </w:rPr>
        <w:t>თვისა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</w:t>
      </w:r>
      <w:r>
        <w:rPr>
          <w:rFonts w:ascii="Sylfaen" w:hAnsi="Sylfaen" w:cs="Sylfaen"/>
          <w:sz w:val="24"/>
          <w:szCs w:val="24"/>
        </w:rPr>
        <w:t>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დაიშვება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6E2922">
      <w:pPr>
        <w:spacing w:after="0" w:line="20" w:lineRule="atLeast"/>
        <w:ind w:right="72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6E2922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(30.12.2008 N 960)</w:t>
      </w:r>
    </w:p>
    <w:p w:rsidR="00000000" w:rsidRDefault="006E2922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სასჯელაღსრულების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პრობაციისა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თავდაცვის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ფინანსთა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რესურსების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დაზვერვის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გამომძიებლების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გამართულ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</w:t>
      </w:r>
      <w:r>
        <w:rPr>
          <w:rFonts w:ascii="Sylfaen" w:hAnsi="Sylfaen" w:cs="Sylfaen"/>
          <w:sz w:val="24"/>
          <w:szCs w:val="24"/>
        </w:rPr>
        <w:t>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E2922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(30.12.2008 N 960)</w:t>
      </w:r>
    </w:p>
    <w:p w:rsidR="00000000" w:rsidRDefault="006E2922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სასჯელაღსრულების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პრობაციისა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საგამოძიებო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</w:t>
      </w:r>
      <w:r>
        <w:rPr>
          <w:rFonts w:ascii="Sylfaen" w:hAnsi="Sylfaen" w:cs="Sylfaen"/>
          <w:sz w:val="24"/>
          <w:szCs w:val="24"/>
        </w:rPr>
        <w:t>ომძიებლებსა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სასჯელაღსრულების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სამსახურს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-13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სასამსახურო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უკლებლივ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წარედგინოს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საპროკურორო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</w:t>
      </w:r>
      <w:r>
        <w:rPr>
          <w:rFonts w:ascii="Sylfaen" w:hAnsi="Sylfaen" w:cs="Sylfaen"/>
          <w:sz w:val="24"/>
          <w:szCs w:val="24"/>
        </w:rPr>
        <w:t>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სანქციონირებისას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 21-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6E292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ზედამხედველობას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</w:t>
      </w:r>
      <w:r>
        <w:rPr>
          <w:rFonts w:ascii="Sylfaen" w:hAnsi="Sylfaen" w:cs="Sylfaen"/>
          <w:sz w:val="24"/>
          <w:szCs w:val="24"/>
        </w:rPr>
        <w:t>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ზუსტ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ერთგვაროვან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ოპერატიულ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სამძებრო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მისდამი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დაქვემდებარებული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პროკურორებ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6E292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პროკურატურის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6E2922">
      <w:pPr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2009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თებერვლიდან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(30.12.2008 N 960)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</w:t>
      </w:r>
      <w:r>
        <w:rPr>
          <w:rFonts w:ascii="Sylfaen" w:hAnsi="Sylfaen" w:cs="Sylfaen"/>
          <w:sz w:val="24"/>
          <w:szCs w:val="24"/>
        </w:rPr>
        <w:tab/>
        <w:t xml:space="preserve">    </w:t>
      </w:r>
      <w:r>
        <w:rPr>
          <w:rFonts w:ascii="Sylfaen" w:hAnsi="Sylfaen" w:cs="Sylfaen"/>
          <w:sz w:val="24"/>
          <w:szCs w:val="24"/>
        </w:rPr>
        <w:tab/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6E2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2008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ნოემბერი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6E2922">
      <w:pPr>
        <w:tabs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 4</w:t>
      </w:r>
      <w:r>
        <w:rPr>
          <w:rFonts w:ascii="Sylfaen" w:hAnsi="Sylfaen" w:cs="Sylfaen"/>
        </w:rPr>
        <w:t>82</w:t>
      </w:r>
      <w:r>
        <w:rPr>
          <w:rFonts w:ascii="Sylfaen" w:hAnsi="Sylfaen" w:cs="Sylfaen"/>
          <w:sz w:val="24"/>
          <w:szCs w:val="24"/>
        </w:rPr>
        <w:t xml:space="preserve"> - </w:t>
      </w:r>
      <w:r>
        <w:rPr>
          <w:rFonts w:ascii="Sylfaen" w:hAnsi="Sylfaen" w:cs="Sylfaen"/>
          <w:sz w:val="24"/>
          <w:szCs w:val="24"/>
        </w:rPr>
        <w:t>რს</w:t>
      </w:r>
    </w:p>
    <w:p w:rsidR="00000000" w:rsidRDefault="006E2922">
      <w:pPr>
        <w:tabs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ind w:firstLine="720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E2922"/>
    <w:rsid w:val="006E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rFonts w:ascii="LitNusx" w:hAnsi="LitNusx" w:cs="LitNusx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CharChar">
    <w:name w:val="Char Char"/>
    <w:basedOn w:val="DefaultParagraphFont"/>
    <w:uiPriority w:val="99"/>
    <w:rPr>
      <w:rFonts w:ascii="LitNusx" w:hAnsi="LitNusx" w:cs="LitNusx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