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პატიმრობის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პატიმრობის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N38(45),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182)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N961)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</w:t>
      </w:r>
      <w:r>
        <w:rPr>
          <w:rFonts w:ascii="Sylfaen" w:hAnsi="Sylfaen" w:cs="Sylfaen"/>
        </w:rPr>
        <w:t>აღმდეგებოდეს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დებულებებს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დეპარტამენტს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).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დეპარ</w:t>
      </w:r>
      <w:r>
        <w:rPr>
          <w:rFonts w:ascii="Sylfaen" w:hAnsi="Sylfaen" w:cs="Sylfaen"/>
        </w:rPr>
        <w:t>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ხარჯთაღრიცხვას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ხარჯთაღრიცხვა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ხარჯთაღრიცხვის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ნაწილია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ანგარიშვალდებულება</w:t>
      </w:r>
      <w:r>
        <w:rPr>
          <w:rFonts w:ascii="Sylfaen" w:hAnsi="Sylfaen" w:cs="Sylfaen"/>
        </w:rPr>
        <w:t xml:space="preserve">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წელიწადში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>ჯერ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აღასრულებენ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</w:t>
      </w:r>
      <w:r>
        <w:rPr>
          <w:rFonts w:ascii="Sylfaen" w:hAnsi="Sylfaen" w:cs="Sylfaen"/>
        </w:rPr>
        <w:t xml:space="preserve">.  </w:t>
      </w:r>
    </w:p>
    <w:p w:rsidR="00000000" w:rsidRDefault="00DC664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>.“;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</w:t>
      </w:r>
      <w:r>
        <w:rPr>
          <w:rFonts w:ascii="Sylfaen" w:hAnsi="Sylfaen" w:cs="Sylfaen"/>
        </w:rPr>
        <w:t>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 xml:space="preserve">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ამოცანები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შინაგანაწესი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</w:t>
      </w:r>
      <w:r>
        <w:rPr>
          <w:rFonts w:ascii="Sylfaen" w:hAnsi="Sylfaen" w:cs="Sylfaen"/>
        </w:rPr>
        <w:t>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წვევამდელი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წვევამდელის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რეზერვში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ჩასარიცხ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შერჩევისა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</w:t>
      </w:r>
      <w:r>
        <w:rPr>
          <w:rFonts w:ascii="Sylfaen" w:hAnsi="Sylfaen" w:cs="Sylfaen"/>
        </w:rPr>
        <w:t>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მოსამსახურეების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>“;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ათავისუფლე</w:t>
      </w:r>
      <w:r>
        <w:rPr>
          <w:rFonts w:ascii="Sylfaen" w:hAnsi="Sylfaen" w:cs="Sylfaen"/>
        </w:rPr>
        <w:t>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.“;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ატესტაციის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>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8. 11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მოსამსახურეთა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მსურველთა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გადამზადებას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კვალიფიკაციის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</w:t>
      </w:r>
      <w:r>
        <w:rPr>
          <w:rFonts w:ascii="Sylfaen" w:hAnsi="Sylfaen" w:cs="Sylfaen"/>
        </w:rPr>
        <w:t>ღლებას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</w:t>
      </w:r>
      <w:r>
        <w:rPr>
          <w:rFonts w:ascii="Sylfaen" w:hAnsi="Sylfaen" w:cs="Sylfaen"/>
        </w:rPr>
        <w:t>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საპყრობილის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</w:t>
      </w:r>
      <w:r>
        <w:rPr>
          <w:rFonts w:ascii="Sylfaen" w:hAnsi="Sylfaen" w:cs="Sylfaen"/>
        </w:rPr>
        <w:t>ესებულებას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საპყრობილის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თავისუფლებააღკვეთილ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განესაზღვრა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მკაცრი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>ანხმობით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დატოვებულ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საპყრობილეში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გადაადგილების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განცალკევები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11. 30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დაპატიმრებიდან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არქივში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დასართავი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არქივში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.“;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</w:t>
      </w:r>
      <w:r>
        <w:rPr>
          <w:rFonts w:ascii="Sylfaen" w:hAnsi="Sylfaen" w:cs="Sylfaen"/>
        </w:rPr>
        <w:t>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მსჯავრდებულისა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ტანსაცმლის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</w:t>
      </w:r>
      <w:r>
        <w:rPr>
          <w:rFonts w:ascii="Sylfaen" w:hAnsi="Sylfaen" w:cs="Sylfaen"/>
        </w:rPr>
        <w:t>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36-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მსჯავრდებულს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მაღაზიაში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</w:t>
      </w:r>
      <w:r>
        <w:rPr>
          <w:rFonts w:ascii="Sylfaen" w:hAnsi="Sylfaen" w:cs="Sylfaen"/>
        </w:rPr>
        <w:t>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გამოიმუშავა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ჩარიცხეს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ორგანიზაციებმა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დაიშვება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ლიმიტის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უნაღდო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46-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ექსტერნად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განათლებისა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მეცნიერების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მსჯავრდებულს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.“;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55-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ხელფასის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, 50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ხარჯებისათვის</w:t>
      </w:r>
      <w:r>
        <w:rPr>
          <w:rFonts w:ascii="Sylfaen" w:hAnsi="Sylfaen" w:cs="Sylfaen"/>
        </w:rPr>
        <w:t xml:space="preserve">, 10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შესანახი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</w:t>
      </w:r>
      <w:r>
        <w:rPr>
          <w:rFonts w:ascii="Sylfaen" w:hAnsi="Sylfaen" w:cs="Sylfaen"/>
        </w:rPr>
        <w:t>ღაურებისათვის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დაიქვითება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არასრულწლოვან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ბავშვებისათვის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ალიმენტები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გამოიანგარიშება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გამომუშავებული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თანხიდან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61. </w:t>
      </w:r>
      <w:r>
        <w:rPr>
          <w:rFonts w:ascii="Sylfaen" w:hAnsi="Sylfaen" w:cs="Sylfaen"/>
        </w:rPr>
        <w:t>სარეაბილიტაციო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მსჯავრდებულთა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ადაპტაციისათვის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</w:t>
      </w:r>
      <w:r>
        <w:rPr>
          <w:rFonts w:ascii="Sylfaen" w:hAnsi="Sylfaen" w:cs="Sylfaen"/>
        </w:rPr>
        <w:t>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სარეაბილიტაციო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19. 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ადაიგზავნება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აღირიცხება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</w:t>
      </w:r>
      <w:r>
        <w:rPr>
          <w:rFonts w:ascii="Sylfaen" w:hAnsi="Sylfaen" w:cs="Sylfaen"/>
        </w:rPr>
        <w:t>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მოსამსახურეთაგან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75-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საპყრობილის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22. 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თითოეული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პატიმრის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გადაყვანის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ლიმიტის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უნაღდო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ანგარიშსწორებით</w:t>
      </w:r>
      <w:r>
        <w:rPr>
          <w:rFonts w:ascii="Sylfaen" w:hAnsi="Sylfaen" w:cs="Sylfaen"/>
        </w:rPr>
        <w:t>;“;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პატიმრობი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25. 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ყოველწლიურად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</w:t>
      </w:r>
      <w:r>
        <w:rPr>
          <w:rFonts w:ascii="Sylfaen" w:hAnsi="Sylfaen" w:cs="Sylfaen"/>
        </w:rPr>
        <w:t>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26. 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96.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გეგმა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არეულობებისას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საომარი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ეპარტამენტი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თავდასხმის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გაქცევისა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</w:t>
      </w:r>
      <w:r>
        <w:rPr>
          <w:rFonts w:ascii="Sylfaen" w:hAnsi="Sylfaen" w:cs="Sylfaen"/>
        </w:rPr>
        <w:t>ისტროსთან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.“.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27. 99-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>(30.12.2008 N961)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რეორგანიზებულ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დაწესებულებად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დეპარტამენტად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</w:t>
      </w:r>
      <w:r>
        <w:rPr>
          <w:rFonts w:ascii="Sylfaen" w:hAnsi="Sylfaen" w:cs="Sylfaen"/>
        </w:rPr>
        <w:t>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უფლებამონაცვლე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დანაყოფმა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რეორგანიზებულ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ცენტრად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პატიმრობის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ინარჩუნებს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ძალას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</w:t>
      </w:r>
      <w:r>
        <w:rPr>
          <w:rFonts w:ascii="Sylfaen" w:hAnsi="Sylfaen" w:cs="Sylfaen"/>
        </w:rPr>
        <w:t>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სამინისტროსათვის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სამინისტრომ</w:t>
      </w:r>
      <w:r>
        <w:rPr>
          <w:rFonts w:ascii="Sylfaen" w:hAnsi="Sylfaen" w:cs="Sylfaen"/>
        </w:rPr>
        <w:t xml:space="preserve">    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პრობაციის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ბალანსზე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</w:t>
      </w:r>
      <w:r>
        <w:rPr>
          <w:rFonts w:ascii="Sylfaen" w:hAnsi="Sylfaen" w:cs="Sylfaen"/>
        </w:rPr>
        <w:t>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სამინისტროსათვის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firstLine="360"/>
        <w:jc w:val="both"/>
        <w:rPr>
          <w:rFonts w:ascii="Sylfaen" w:hAnsi="Sylfaen" w:cs="Sylfaen"/>
        </w:rPr>
      </w:pP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</w:rPr>
        <w:t>(30.12.2008 N961)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>.</w:t>
      </w:r>
    </w:p>
    <w:p w:rsidR="00000000" w:rsidRDefault="00DC66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ოქტომბერი</w:t>
      </w:r>
      <w:r>
        <w:rPr>
          <w:rFonts w:ascii="Sylfaen" w:hAnsi="Sylfaen" w:cs="Sylfaen"/>
        </w:rPr>
        <w:t xml:space="preserve">. </w:t>
      </w:r>
    </w:p>
    <w:p w:rsidR="00000000" w:rsidRDefault="00DC6641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435 – </w:t>
      </w:r>
      <w:r>
        <w:rPr>
          <w:rFonts w:ascii="Sylfaen" w:hAnsi="Sylfaen" w:cs="Sylfaen"/>
        </w:rPr>
        <w:t>რს</w:t>
      </w:r>
    </w:p>
    <w:p w:rsidR="00000000" w:rsidRDefault="00DC66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6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6641"/>
    <w:rsid w:val="00D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cadNusx" w:hAnsi="AcadNusx" w:cs="AcadNusx"/>
      <w:sz w:val="24"/>
      <w:szCs w:val="24"/>
    </w:rPr>
  </w:style>
  <w:style w:type="paragraph" w:customStyle="1" w:styleId="Char">
    <w:name w:val="Char"/>
    <w:basedOn w:val="Normal"/>
    <w:next w:val="Normal0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cadNusx" w:hAnsi="AcadNusx" w:cs="AcadNusx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