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არბიტრაჟის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15594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115594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(04.05.2018 N2276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)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</w:t>
      </w:r>
      <w:r>
        <w:rPr>
          <w:rFonts w:ascii="Sylfaen" w:eastAsia="Times New Roman" w:hAnsi="Sylfaen" w:cs="Sylfaen"/>
          <w:lang w:eastAsia="x-none"/>
        </w:rPr>
        <w:t>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-16,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>; 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გაგზავნილია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მაგნიტური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ტელეფაქსით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მიუთითებენ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(18.03.2015. N3218)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lastRenderedPageBreak/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პირისათვის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ონაცვლეობა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შემთხვევები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</w:t>
      </w:r>
      <w:r>
        <w:rPr>
          <w:rFonts w:ascii="Sylfaen" w:eastAsia="Times New Roman" w:hAnsi="Sylfaen" w:cs="Sylfaen"/>
          <w:lang w:eastAsia="x-none"/>
        </w:rPr>
        <w:t>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ვადები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გამოსათვლელი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</w:p>
    <w:p w:rsidR="00000000" w:rsidRDefault="00115594">
      <w:pPr>
        <w:tabs>
          <w:tab w:val="left" w:pos="45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თანხმდებიან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5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2.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</w:t>
      </w:r>
      <w:r>
        <w:rPr>
          <w:rFonts w:ascii="Sylfaen" w:eastAsia="Times New Roman" w:hAnsi="Sylfaen" w:cs="Sylfaen"/>
          <w:lang w:eastAsia="x-none"/>
        </w:rPr>
        <w:t>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პუნქტები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 N3218)</w:t>
      </w:r>
    </w:p>
    <w:p w:rsidR="00000000" w:rsidRDefault="00115594">
      <w:pPr>
        <w:tabs>
          <w:tab w:val="left" w:pos="360"/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ძალადაკარგულია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.2015. N3218)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(18.03.2015. N3218)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05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405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</w:t>
      </w:r>
      <w:r>
        <w:rPr>
          <w:rFonts w:ascii="Sylfaen" w:eastAsia="Times New Roman" w:hAnsi="Sylfaen" w:cs="Sylfaen"/>
          <w:lang w:eastAsia="x-none"/>
        </w:rPr>
        <w:t xml:space="preserve"> III </w:t>
      </w:r>
    </w:p>
    <w:p w:rsidR="00000000" w:rsidRDefault="00115594">
      <w:pPr>
        <w:tabs>
          <w:tab w:val="left" w:pos="405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</w:p>
    <w:p w:rsidR="00000000" w:rsidRDefault="00115594">
      <w:pPr>
        <w:tabs>
          <w:tab w:val="left" w:pos="405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405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ლუწი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არბიტრების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არბიტრების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არბიტრების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>(18.03.2015. N3218)</w:t>
      </w:r>
    </w:p>
    <w:p w:rsidR="00000000" w:rsidRDefault="0011559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</w:t>
      </w:r>
      <w:r>
        <w:rPr>
          <w:rFonts w:ascii="Sylfaen" w:eastAsia="Times New Roman" w:hAnsi="Sylfaen" w:cs="Sylfaen"/>
          <w:lang w:eastAsia="x-none"/>
        </w:rPr>
        <w:t>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 (18.03.2015. N3218)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აეკრძალოს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არბიტრად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დანიშვნა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(18.09.2019 N4958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155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შეზღუდულქმედუნარიანი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155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155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მსჯავრდებული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გაქარწყლებული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155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</w:t>
      </w:r>
      <w:r>
        <w:rPr>
          <w:rFonts w:ascii="Sylfaen" w:eastAsia="Times New Roman" w:hAnsi="Sylfaen" w:cs="Sylfaen"/>
          <w:lang w:eastAsia="x-none"/>
        </w:rPr>
        <w:t>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</w:t>
      </w:r>
      <w:r>
        <w:rPr>
          <w:rFonts w:ascii="Sylfaen" w:eastAsia="Times New Roman" w:hAnsi="Sylfaen" w:cs="Sylfaen"/>
          <w:lang w:eastAsia="x-none"/>
        </w:rPr>
        <w:t>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დღეში</w:t>
      </w:r>
      <w:r>
        <w:rPr>
          <w:rFonts w:ascii="Sylfaen" w:eastAsia="Times New Roman" w:hAnsi="Sylfaen" w:cs="Sylfaen"/>
          <w:lang w:eastAsia="x-none"/>
        </w:rPr>
        <w:t>. (18.03.2015. N3218)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. (18.03.2015. N3218)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,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 (18.03.2015. N3218)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თვითაცილება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color w:val="FF0000"/>
          <w:lang w:eastAsia="x-none"/>
        </w:rPr>
        <w:tab/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რბიტრი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უმოქმედობის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</w:t>
      </w:r>
      <w:r>
        <w:rPr>
          <w:rFonts w:ascii="Sylfaen" w:eastAsia="Times New Roman" w:hAnsi="Sylfaen" w:cs="Sylfaen"/>
          <w:lang w:eastAsia="x-none"/>
        </w:rPr>
        <w:t>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</w:t>
      </w:r>
      <w:r>
        <w:rPr>
          <w:rFonts w:ascii="Sylfaen" w:eastAsia="Times New Roman" w:hAnsi="Sylfaen" w:cs="Sylfaen"/>
          <w:lang w:eastAsia="x-none"/>
        </w:rPr>
        <w:t>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Heading1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0" w:lineRule="atLeast"/>
        <w:jc w:val="center"/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IV</w:t>
      </w:r>
    </w:p>
    <w:p w:rsidR="00000000" w:rsidRDefault="00115594">
      <w:pPr>
        <w:pStyle w:val="Heading1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0" w:lineRule="atLeast"/>
        <w:jc w:val="center"/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არბიტრაჟის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ამოსილება</w:t>
      </w:r>
    </w:p>
    <w:p w:rsidR="00000000" w:rsidRDefault="00115594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muxlixml"/>
        <w:spacing w:before="0" w:after="0"/>
        <w:ind w:firstLine="709"/>
        <w:jc w:val="both"/>
        <w:rPr>
          <w:rFonts w:ascii="Sylfaen" w:hAnsi="Sylfaen" w:cs="Sylfaen"/>
          <w:color w:val="000000"/>
          <w:lang w:eastAsia="x-none"/>
        </w:rPr>
      </w:pPr>
      <w:hyperlink r:id="rId4" w:history="1">
        <w:r>
          <w:rPr>
            <w:rStyle w:val="Hyperlink"/>
            <w:rFonts w:ascii="Sylfaen" w:eastAsia="Times New Roman" w:hAnsi="Sylfaen" w:cs="Sylfaen"/>
            <w:color w:val="000000"/>
            <w:u w:val="none"/>
            <w:lang w:eastAsia="x-none"/>
          </w:rPr>
          <w:t>მუხლი 16. არბიტრაჟის კომპეტენცია</w:t>
        </w:r>
      </w:hyperlink>
      <w:r>
        <w:rPr>
          <w:rStyle w:val="Hyperlink"/>
          <w:rFonts w:ascii="Sylfaen" w:hAnsi="Sylfaen" w:cs="Sylfaen"/>
          <w:color w:val="000000"/>
          <w:u w:val="none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(18.03.2015. N3218)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</w:t>
      </w:r>
      <w:r>
        <w:rPr>
          <w:rFonts w:ascii="Sylfaen" w:eastAsia="Times New Roman" w:hAnsi="Sylfaen" w:cs="Sylfaen"/>
          <w:lang w:eastAsia="x-none"/>
        </w:rPr>
        <w:t>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ცხადება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გადაჭარბების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შეტყობიდან</w:t>
      </w:r>
      <w:r>
        <w:rPr>
          <w:rFonts w:ascii="Sylfaen" w:eastAsia="Times New Roman" w:hAnsi="Sylfaen" w:cs="Sylfaen"/>
          <w:lang w:eastAsia="x-none"/>
        </w:rPr>
        <w:t xml:space="preserve">              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 xml:space="preserve">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</w:t>
      </w:r>
      <w:r>
        <w:rPr>
          <w:rFonts w:ascii="Sylfaen" w:eastAsia="Times New Roman" w:hAnsi="Sylfaen" w:cs="Sylfaen"/>
          <w:lang w:eastAsia="x-none"/>
        </w:rPr>
        <w:t>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</w:t>
      </w:r>
      <w:r>
        <w:rPr>
          <w:rFonts w:ascii="Sylfaen" w:eastAsia="Times New Roman" w:hAnsi="Sylfaen" w:cs="Sylfaen"/>
          <w:lang w:eastAsia="x-none"/>
        </w:rPr>
        <w:t>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ოუყენებლობამ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</w:t>
      </w:r>
      <w:r>
        <w:rPr>
          <w:rFonts w:ascii="Sylfaen" w:eastAsia="Times New Roman" w:hAnsi="Sylfaen" w:cs="Sylfaen"/>
          <w:lang w:eastAsia="x-none"/>
        </w:rPr>
        <w:t>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(18.03.2015. N3218)  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ინფორმ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არბიტრაჟის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გამოყენებულ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საარბიტრაჟო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სარჩელის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სავალდებულო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ძალა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ისინი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უნდა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აღსრულდეს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გზით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მიუხედავად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იმისა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რომელ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ქვეყანაში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იქნა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გამოტანილი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საარბიტრაჟო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სარჩელის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აღნიშნული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გამოყენების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შესახებ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22-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დებულებათა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</w:t>
      </w:r>
      <w:r>
        <w:rPr>
          <w:rFonts w:ascii="Sylfaen" w:eastAsia="Times New Roman" w:hAnsi="Sylfaen" w:cs="Sylfaen"/>
          <w:color w:val="000000"/>
          <w:lang w:eastAsia="x-none"/>
        </w:rPr>
        <w:t>ვალისწინებით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საარბიტრაჟო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სარჩელის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ღონისძიებების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მიმართვას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საჭიროებს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არბიტრაჟი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დაადგინოს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განსხვავებული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წესი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(18.03.2015. N3218)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</w:t>
      </w:r>
      <w:r>
        <w:rPr>
          <w:rFonts w:ascii="Sylfaen" w:eastAsia="Times New Roman" w:hAnsi="Sylfaen" w:cs="Sylfaen"/>
          <w:lang w:eastAsia="x-none"/>
        </w:rPr>
        <w:t>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</w:t>
      </w:r>
      <w:r>
        <w:rPr>
          <w:rFonts w:ascii="Sylfaen" w:eastAsia="Times New Roman" w:hAnsi="Sylfaen" w:cs="Sylfaen"/>
          <w:lang w:eastAsia="x-none"/>
        </w:rPr>
        <w:t>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</w:t>
      </w:r>
      <w:r>
        <w:rPr>
          <w:rFonts w:ascii="Sylfaen" w:eastAsia="Times New Roman" w:hAnsi="Sylfaen" w:cs="Sylfaen"/>
          <w:lang w:eastAsia="x-none"/>
        </w:rPr>
        <w:t>სძიებებს</w:t>
      </w:r>
      <w:r>
        <w:rPr>
          <w:rFonts w:ascii="Sylfaen" w:eastAsia="Times New Roman" w:hAnsi="Sylfaen" w:cs="Sylfaen"/>
          <w:lang w:eastAsia="x-none"/>
        </w:rPr>
        <w:t xml:space="preserve">.   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198-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  (18.03.2015. N3218)</w:t>
      </w:r>
    </w:p>
    <w:p w:rsidR="00000000" w:rsidRDefault="00115594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V </w:t>
      </w:r>
    </w:p>
    <w:p w:rsidR="00000000" w:rsidRDefault="0011559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საარბიტრაჟო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განხილვ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</w:t>
      </w:r>
      <w:r>
        <w:rPr>
          <w:rFonts w:ascii="Sylfaen" w:eastAsia="Times New Roman" w:hAnsi="Sylfaen" w:cs="Sylfaen"/>
          <w:lang w:eastAsia="x-none"/>
        </w:rPr>
        <w:t>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მოსახერხებელია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მოსასმენად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</w:t>
      </w:r>
      <w:r>
        <w:rPr>
          <w:rFonts w:ascii="Sylfaen" w:eastAsia="Times New Roman" w:hAnsi="Sylfaen" w:cs="Sylfaen"/>
          <w:lang w:eastAsia="x-none"/>
        </w:rPr>
        <w:t>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90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bookmarkStart w:id="0" w:name="part_33"/>
    <w:bookmarkEnd w:id="0"/>
    <w:p w:rsidR="00000000" w:rsidRDefault="00115594">
      <w:pPr>
        <w:pStyle w:val="abzacixml"/>
        <w:spacing w:before="0" w:after="0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begin"/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instrText>HYPERLINK "https://matsne.gov.ge/index.php?option=com_ldmssearch&amp;view=docView&amp;id=89284&amp;lang=ge"</w:instrTex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separate"/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მუხლი 27. შეტყობინებ</w: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end"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ჩაჰბარდებათ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</w:p>
    <w:p w:rsidR="00000000" w:rsidRDefault="00115594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ენები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ენებს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</w:t>
      </w:r>
      <w:r>
        <w:rPr>
          <w:rFonts w:ascii="Sylfaen" w:eastAsia="Times New Roman" w:hAnsi="Sylfaen" w:cs="Sylfaen"/>
          <w:lang w:eastAsia="x-none"/>
        </w:rPr>
        <w:t>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(18.03.2015. N3218)</w:t>
      </w:r>
    </w:p>
    <w:p w:rsidR="00000000" w:rsidRDefault="00115594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</w:t>
      </w:r>
      <w:r>
        <w:rPr>
          <w:rFonts w:ascii="Sylfaen" w:eastAsia="Times New Roman" w:hAnsi="Sylfaen" w:cs="Sylfaen"/>
          <w:lang w:eastAsia="x-none"/>
        </w:rPr>
        <w:t>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ენებზე</w:t>
      </w:r>
      <w:r>
        <w:rPr>
          <w:rFonts w:ascii="Sylfaen" w:eastAsia="Times New Roman" w:hAnsi="Sylfaen" w:cs="Sylfaen"/>
          <w:lang w:eastAsia="x-none"/>
        </w:rPr>
        <w:t xml:space="preserve">).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სახელებსა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სახელწოდებებსა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ადგილსამყოფლებს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</w:t>
      </w:r>
      <w:r>
        <w:rPr>
          <w:rFonts w:ascii="Sylfaen" w:eastAsia="Times New Roman" w:hAnsi="Sylfaen" w:cs="Sylfaen"/>
          <w:lang w:eastAsia="x-none"/>
        </w:rPr>
        <w:t>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წარმოუდგენლობა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</w:t>
      </w:r>
      <w:r>
        <w:rPr>
          <w:rFonts w:ascii="Sylfaen" w:eastAsia="Times New Roman" w:hAnsi="Sylfaen" w:cs="Sylfaen"/>
          <w:lang w:eastAsia="x-none"/>
        </w:rPr>
        <w:t>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შეპასუხებაზე</w:t>
      </w:r>
    </w:p>
    <w:p w:rsidR="00000000" w:rsidRDefault="0011559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გადაუხვიონ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შეპასუხების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FF0000"/>
          <w:lang w:eastAsia="x-none"/>
        </w:rPr>
        <w:t xml:space="preserve">  </w:t>
      </w: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</w:t>
      </w:r>
      <w:r>
        <w:rPr>
          <w:rFonts w:ascii="Sylfaen" w:eastAsia="Times New Roman" w:hAnsi="Sylfaen" w:cs="Sylfaen"/>
          <w:lang w:eastAsia="x-none"/>
        </w:rPr>
        <w:t>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ჩაჰბარდეთ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</w:t>
      </w:r>
      <w:r>
        <w:rPr>
          <w:rFonts w:ascii="Sylfaen" w:eastAsia="Times New Roman" w:hAnsi="Sylfaen" w:cs="Sylfaen"/>
          <w:lang w:eastAsia="x-none"/>
        </w:rPr>
        <w:t>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</w:t>
      </w:r>
      <w:r>
        <w:rPr>
          <w:rFonts w:ascii="Sylfaen" w:eastAsia="Times New Roman" w:hAnsi="Sylfaen" w:cs="Sylfaen"/>
          <w:lang w:eastAsia="x-none"/>
        </w:rPr>
        <w:t>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</w:p>
    <w:p w:rsidR="00000000" w:rsidRDefault="00115594">
      <w:pPr>
        <w:tabs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    </w:t>
      </w:r>
    </w:p>
    <w:p w:rsidR="00000000" w:rsidRDefault="001155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</w:t>
      </w:r>
      <w:r>
        <w:rPr>
          <w:rFonts w:ascii="Sylfaen" w:eastAsia="Times New Roman" w:hAnsi="Sylfaen" w:cs="Sylfaen"/>
          <w:lang w:eastAsia="x-none"/>
        </w:rPr>
        <w:t>პერტები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მოპოვებაში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</w:t>
      </w:r>
      <w:r>
        <w:rPr>
          <w:rFonts w:ascii="Sylfaen" w:eastAsia="Times New Roman" w:hAnsi="Sylfaen" w:cs="Sylfaen"/>
          <w:lang w:eastAsia="x-none"/>
        </w:rPr>
        <w:t>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ნივთმტკიცება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ნივთმტკიცება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განხილვისას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. (18.03.2015. N3218)  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>რმები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კოლიზიურ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4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</w:t>
      </w:r>
      <w:r>
        <w:rPr>
          <w:rFonts w:ascii="Sylfaen" w:eastAsia="Times New Roman" w:hAnsi="Sylfaen" w:cs="Sylfaen"/>
          <w:lang w:eastAsia="x-none"/>
        </w:rPr>
        <w:t>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(18.03.2015. N3218)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</w:t>
      </w:r>
      <w:r>
        <w:rPr>
          <w:rFonts w:ascii="Sylfaen" w:eastAsia="Times New Roman" w:hAnsi="Sylfaen" w:cs="Sylfaen"/>
          <w:lang w:eastAsia="x-none"/>
        </w:rPr>
        <w:t>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75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დაწყებიდან</w:t>
      </w:r>
      <w:r>
        <w:rPr>
          <w:rFonts w:ascii="Sylfaen" w:eastAsia="Times New Roman" w:hAnsi="Sylfaen" w:cs="Sylfaen"/>
          <w:lang w:eastAsia="x-none"/>
        </w:rPr>
        <w:t xml:space="preserve"> 180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აუცილებლობ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180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მოაწერონ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არბიტრმა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ბიტრებმა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. (18.03.2015. N3218)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სამოტივაც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. (18.03.2015. N3218) </w:t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9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FF0000"/>
          <w:lang w:eastAsia="x-none"/>
        </w:rPr>
        <w:tab/>
      </w:r>
      <w:r>
        <w:rPr>
          <w:rFonts w:ascii="Sylfaen" w:hAnsi="Sylfaen" w:cs="Sylfaen"/>
          <w:color w:val="FF0000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</w:t>
      </w:r>
      <w:r>
        <w:rPr>
          <w:rFonts w:ascii="Sylfaen" w:eastAsia="Times New Roman" w:hAnsi="Sylfaen" w:cs="Sylfaen"/>
          <w:lang w:eastAsia="x-none"/>
        </w:rPr>
        <w:t>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BodyText2"/>
        <w:tabs>
          <w:tab w:val="left" w:pos="13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ბეჭდური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BodyText2"/>
        <w:tabs>
          <w:tab w:val="left" w:pos="360"/>
          <w:tab w:val="left" w:pos="13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360"/>
          <w:tab w:val="left" w:pos="13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არბიტრაჟი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გამოიტ</w:t>
      </w:r>
      <w:r>
        <w:rPr>
          <w:rFonts w:ascii="Sylfaen" w:eastAsia="Times New Roman" w:hAnsi="Sylfaen" w:cs="Sylfaen"/>
          <w:lang w:eastAsia="x-none"/>
        </w:rPr>
        <w:t>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არბიტრაჟმა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 </w:t>
      </w:r>
    </w:p>
    <w:bookmarkStart w:id="1" w:name="part_49"/>
    <w:bookmarkEnd w:id="1"/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begin"/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instrText>HYPERLINK "https://matsne.gov.ge/index.php?option=com_ldmssearch&amp;view=docView&amp;id=89284&amp;lang=ge"</w:instrTex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separate"/>
      </w:r>
      <w:r>
        <w:rPr>
          <w:rStyle w:val="Hyperlink"/>
          <w:rFonts w:ascii="Sylfaen" w:eastAsia="Times New Roman" w:hAnsi="Sylfaen" w:cs="Sylfaen"/>
          <w:color w:val="auto"/>
          <w:u w:val="none"/>
          <w:lang w:eastAsia="x-none"/>
        </w:rPr>
        <w:t>საარბიტრაჟო გადაწყვეტილების გაუქმება</w: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fldChar w:fldCharType="end"/>
      </w:r>
      <w:r>
        <w:rPr>
          <w:rFonts w:ascii="Sylfaen" w:hAnsi="Sylfaen" w:cs="Sylfaen"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18.03.2015. N3218)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lang w:eastAsia="x-none"/>
        </w:rPr>
      </w:pPr>
    </w:p>
    <w:bookmarkStart w:id="2" w:name="part_50"/>
    <w:bookmarkEnd w:id="2"/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75"/>
        <w:jc w:val="both"/>
        <w:rPr>
          <w:rFonts w:ascii="Sylfaen" w:hAnsi="Sylfaen" w:cs="Sylfaen"/>
          <w:lang w:eastAsia="x-none"/>
        </w:rPr>
      </w:pPr>
      <w:r>
        <w:rPr>
          <w:rStyle w:val="Hyperlink"/>
          <w:rFonts w:ascii="Sylfaen" w:hAnsi="Sylfaen" w:cs="Sylfaen"/>
          <w:color w:val="000000"/>
          <w:u w:val="none"/>
          <w:lang w:eastAsia="x-none"/>
        </w:rPr>
        <w:fldChar w:fldCharType="begin"/>
      </w:r>
      <w:r>
        <w:rPr>
          <w:rStyle w:val="Hyperlink"/>
          <w:rFonts w:ascii="Sylfaen" w:hAnsi="Sylfaen" w:cs="Sylfaen"/>
          <w:color w:val="000000"/>
          <w:u w:val="none"/>
          <w:lang w:eastAsia="x-none"/>
        </w:rPr>
        <w:instrText>HYPERLINK "https://matsne.gov.ge/index.php?option=com_ldmssearch&amp;view=docView&amp;id=89284&amp;lang=ge"</w:instrText>
      </w:r>
      <w:r>
        <w:rPr>
          <w:rStyle w:val="Hyperlink"/>
          <w:rFonts w:ascii="Sylfaen" w:hAnsi="Sylfaen" w:cs="Sylfaen"/>
          <w:color w:val="000000"/>
          <w:u w:val="none"/>
          <w:lang w:eastAsia="x-none"/>
        </w:rPr>
      </w:r>
      <w:r>
        <w:rPr>
          <w:rStyle w:val="Hyperlink"/>
          <w:rFonts w:ascii="Sylfaen" w:hAnsi="Sylfaen" w:cs="Sylfaen"/>
          <w:color w:val="000000"/>
          <w:u w:val="none"/>
          <w:lang w:eastAsia="x-none"/>
        </w:rPr>
        <w:fldChar w:fldCharType="separate"/>
      </w:r>
      <w:r>
        <w:rPr>
          <w:rStyle w:val="Hyperlink"/>
          <w:rFonts w:ascii="Sylfaen" w:eastAsia="Times New Roman" w:hAnsi="Sylfaen" w:cs="Sylfaen"/>
          <w:color w:val="000000"/>
          <w:u w:val="none"/>
          <w:lang w:eastAsia="x-none"/>
        </w:rPr>
        <w:t>მუხლი 42. საარბიტრაჟო გადაწყვეტილების გაუქმებ</w:t>
      </w:r>
      <w:r>
        <w:rPr>
          <w:rStyle w:val="Hyperlink"/>
          <w:rFonts w:ascii="Sylfaen" w:hAnsi="Sylfaen" w:cs="Sylfaen"/>
          <w:color w:val="000000"/>
          <w:u w:val="none"/>
          <w:lang w:eastAsia="x-none"/>
        </w:rPr>
        <w:fldChar w:fldCharType="end"/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(18.03.2015. N3218)</w:t>
      </w:r>
    </w:p>
    <w:p w:rsidR="00000000" w:rsidRDefault="00115594">
      <w:pPr>
        <w:pStyle w:val="muxl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ძალადაკარგულია</w:t>
      </w:r>
      <w:r>
        <w:rPr>
          <w:rFonts w:ascii="Sylfaen" w:eastAsia="Times New Roman" w:hAnsi="Sylfaen" w:cs="Sylfaen"/>
          <w:lang w:eastAsia="x-none"/>
        </w:rPr>
        <w:t xml:space="preserve">; (20.03.2015. N3360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</w:t>
      </w:r>
      <w:r>
        <w:rPr>
          <w:rFonts w:ascii="Sylfaen" w:eastAsia="Times New Roman" w:hAnsi="Sylfaen" w:cs="Sylfaen"/>
          <w:lang w:eastAsia="x-none"/>
        </w:rPr>
        <w:t>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115594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4. 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lang w:eastAsia="x-none"/>
        </w:rPr>
        <w:t>თუ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სასამართლოს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გამოტანილია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საარბიტრაჟო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ცნობასა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აღსრულებაზე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hAnsi="Sylfaen" w:cs="Sylfaen"/>
          <w:lang w:eastAsia="x-none"/>
        </w:rPr>
      </w:pPr>
      <w:hyperlink r:id="rId5" w:history="1">
        <w:r>
          <w:rPr>
            <w:rStyle w:val="Hyperlink"/>
            <w:rFonts w:ascii="Sylfaen" w:eastAsia="Times New Roman" w:hAnsi="Sylfaen" w:cs="Sylfaen"/>
            <w:color w:val="auto"/>
            <w:u w:val="none"/>
            <w:lang w:eastAsia="x-none"/>
          </w:rPr>
          <w:t>მუხლი 43. სასამართლოს მიერ საარბიტრაჟო გადაწყვეტილების გაუქმების განხილვის შეჩერება</w:t>
        </w:r>
      </w:hyperlink>
      <w:r>
        <w:rPr>
          <w:rStyle w:val="Hyperlink"/>
          <w:rFonts w:ascii="Sylfaen" w:hAnsi="Sylfaen" w:cs="Sylfaen"/>
          <w:color w:val="auto"/>
          <w:u w:val="none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(18.03.2015. N3218)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</w:t>
      </w:r>
      <w:r>
        <w:rPr>
          <w:rFonts w:ascii="Sylfaen" w:eastAsia="Times New Roman" w:hAnsi="Sylfaen" w:cs="Sylfaen"/>
          <w:lang w:eastAsia="x-none"/>
        </w:rPr>
        <w:t>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</w:t>
      </w:r>
      <w:r>
        <w:rPr>
          <w:rFonts w:ascii="Sylfaen" w:eastAsia="Times New Roman" w:hAnsi="Sylfaen" w:cs="Sylfaen"/>
          <w:lang w:eastAsia="x-none"/>
        </w:rPr>
        <w:t>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115594">
      <w:pPr>
        <w:pStyle w:val="BodyText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VIII</w:t>
      </w:r>
    </w:p>
    <w:p w:rsidR="00000000" w:rsidRDefault="00115594">
      <w:pPr>
        <w:pStyle w:val="BodyText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</w:t>
      </w:r>
      <w:r>
        <w:rPr>
          <w:rFonts w:ascii="Sylfaen" w:eastAsia="Times New Roman" w:hAnsi="Sylfaen" w:cs="Sylfaen"/>
          <w:lang w:eastAsia="x-none"/>
        </w:rPr>
        <w:t>ება</w:t>
      </w: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</w:t>
      </w:r>
      <w:r>
        <w:rPr>
          <w:rFonts w:ascii="Sylfaen" w:eastAsia="Times New Roman" w:hAnsi="Sylfaen" w:cs="Sylfaen"/>
          <w:lang w:eastAsia="x-none"/>
        </w:rPr>
        <w:t>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sz w:val="20"/>
          <w:szCs w:val="20"/>
          <w:lang w:eastAsia="x-none"/>
        </w:rPr>
        <w:t xml:space="preserve"> (18.03.2015. N3218)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სააღ</w:t>
      </w:r>
      <w:r>
        <w:rPr>
          <w:rFonts w:ascii="Sylfaen" w:eastAsia="Times New Roman" w:hAnsi="Sylfaen" w:cs="Sylfaen"/>
          <w:lang w:eastAsia="x-none"/>
        </w:rPr>
        <w:t>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115594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(18.03.2015. N3218)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ძალადაკარგულია</w:t>
      </w:r>
      <w:r>
        <w:rPr>
          <w:rFonts w:ascii="Sylfaen" w:eastAsia="Times New Roman" w:hAnsi="Sylfaen" w:cs="Sylfaen"/>
          <w:lang w:eastAsia="x-none"/>
        </w:rPr>
        <w:t xml:space="preserve">; (20.03.2015. N3360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ადგინეს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highlight"/>
          <w:rFonts w:ascii="Sylfaen" w:eastAsia="Times New Roman" w:hAnsi="Sylfaen" w:cs="Sylfaen"/>
          <w:lang w:eastAsia="x-none"/>
        </w:rPr>
        <w:t>არ</w:t>
      </w:r>
      <w:r>
        <w:rPr>
          <w:rStyle w:val="highlight"/>
          <w:rFonts w:ascii="Sylfaen" w:eastAsia="Times New Roman" w:hAnsi="Sylfaen" w:cs="Sylfaen"/>
          <w:lang w:eastAsia="x-none"/>
        </w:rPr>
        <w:t xml:space="preserve"> </w:t>
      </w:r>
      <w:r>
        <w:rPr>
          <w:rStyle w:val="highlight"/>
          <w:rFonts w:ascii="Sylfaen" w:eastAsia="Times New Roman" w:hAnsi="Sylfaen" w:cs="Sylfaen"/>
          <w:lang w:eastAsia="x-none"/>
        </w:rPr>
        <w:t>შეესაბამებოდა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1559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IX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დაუმთავრებელი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დაუმთავრებელი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</w:t>
      </w:r>
      <w:r>
        <w:rPr>
          <w:rFonts w:ascii="Sylfaen" w:eastAsia="Times New Roman" w:hAnsi="Sylfaen" w:cs="Sylfaen"/>
          <w:lang w:eastAsia="x-none"/>
        </w:rPr>
        <w:t>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(20.03.2015. N3360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15594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>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X 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</w:p>
    <w:p w:rsidR="00000000" w:rsidRDefault="00115594">
      <w:pPr>
        <w:pStyle w:val="BodyText2"/>
        <w:tabs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115594">
      <w:pPr>
        <w:pStyle w:val="BodyText2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1559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1280 –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11559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5594"/>
    <w:rsid w:val="001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pPr>
      <w:ind w:left="540"/>
    </w:pPr>
    <w:rPr>
      <w:rFonts w:ascii="AcadNusx" w:hAnsi="AcadNusx" w:cs="AcadNusx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GEGIHeading1Char">
    <w:name w:val="GEGI Heading 1 Char"/>
    <w:basedOn w:val="DefaultParagraphFont"/>
    <w:uiPriority w:val="99"/>
    <w:rPr>
      <w:b/>
      <w:bCs/>
      <w:sz w:val="32"/>
      <w:szCs w:val="32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89284&amp;lang=ge" TargetMode="External"/><Relationship Id="rId4" Type="http://schemas.openxmlformats.org/officeDocument/2006/relationships/hyperlink" Target="https://matsne.gov.ge/index.php?option=com_ldmssearch&amp;view=docView&amp;id=89284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7306</Words>
  <Characters>41647</Characters>
  <Application>Microsoft Office Word</Application>
  <DocSecurity>0</DocSecurity>
  <Lines>347</Lines>
  <Paragraphs>97</Paragraphs>
  <ScaleCrop>false</ScaleCrop>
  <Company/>
  <LinksUpToDate>false</LinksUpToDate>
  <CharactersWithSpaces>48856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