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74A1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A120ED1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1CF48F6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782EC175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630"/>
        <w:jc w:val="center"/>
        <w:rPr>
          <w:rFonts w:ascii="Sylfaen" w:hAnsi="Sylfaen" w:cs="Sylfaen"/>
          <w:sz w:val="24"/>
          <w:szCs w:val="24"/>
        </w:rPr>
      </w:pPr>
    </w:p>
    <w:p w14:paraId="34C09945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98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ჰუმანიზმის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სისხლისსამართლებრივ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N41(48),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209)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ჩამდენ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>.</w:t>
      </w:r>
    </w:p>
    <w:p w14:paraId="5BC4B7F8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4D27F02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98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</w:t>
      </w:r>
    </w:p>
    <w:p w14:paraId="3A5F485E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98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</w:t>
      </w:r>
      <w:r>
        <w:rPr>
          <w:rFonts w:ascii="Sylfaen" w:hAnsi="Sylfaen" w:cs="Sylfaen"/>
          <w:sz w:val="24"/>
          <w:szCs w:val="24"/>
        </w:rPr>
        <w:t>ფლდებიან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ივნისამდე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>, 3</w:t>
      </w:r>
      <w:r>
        <w:rPr>
          <w:rFonts w:ascii="Sylfaen" w:hAnsi="Sylfaen" w:cs="Sylfaen"/>
          <w:sz w:val="24"/>
          <w:szCs w:val="24"/>
        </w:rPr>
        <w:t>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363-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</w:t>
      </w:r>
      <w:r>
        <w:rPr>
          <w:rFonts w:ascii="Sylfaen" w:hAnsi="Sylfaen" w:cs="Sylfaen"/>
          <w:sz w:val="24"/>
          <w:szCs w:val="24"/>
        </w:rPr>
        <w:t>თესავის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სამგზავრო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დამზადებასთა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შეძენასთან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გასაღებასთან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მისაკუთრებასთან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გადამალვასთან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განადგურებასთან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შეტანასთან</w:t>
      </w:r>
      <w:r>
        <w:rPr>
          <w:rFonts w:ascii="Sylfaen" w:hAnsi="Sylfaen" w:cs="Sylfaen"/>
          <w:sz w:val="24"/>
          <w:szCs w:val="24"/>
        </w:rPr>
        <w:t>.</w:t>
      </w:r>
    </w:p>
    <w:p w14:paraId="7468136A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7BDBE78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</w:t>
      </w:r>
    </w:p>
    <w:p w14:paraId="2540F044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ჩაიდინეს</w:t>
      </w:r>
      <w:r>
        <w:rPr>
          <w:rFonts w:ascii="Sylfaen" w:hAnsi="Sylfaen" w:cs="Sylfaen"/>
          <w:sz w:val="24"/>
          <w:szCs w:val="24"/>
        </w:rPr>
        <w:t xml:space="preserve"> 2006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დაწყებულა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74E1F0B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B09C7A2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</w:t>
      </w:r>
    </w:p>
    <w:p w14:paraId="613C5523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29AFDE6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F0B46C1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14:paraId="1EA65107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D7F3735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14:paraId="4475D8E6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11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>.</w:t>
      </w:r>
    </w:p>
    <w:p w14:paraId="780ED814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</w:rPr>
        <w:t xml:space="preserve">N 1386 – </w:t>
      </w:r>
      <w:r>
        <w:rPr>
          <w:rFonts w:ascii="Sylfaen" w:hAnsi="Sylfaen" w:cs="Sylfaen"/>
          <w:sz w:val="24"/>
          <w:szCs w:val="24"/>
        </w:rPr>
        <w:t>რს</w:t>
      </w:r>
    </w:p>
    <w:p w14:paraId="6C846003" w14:textId="77777777" w:rsidR="00000000" w:rsidRDefault="00EB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Sylfaen" w:hAnsi="Sylfaen" w:cs="Sylfaen"/>
          <w:sz w:val="24"/>
          <w:szCs w:val="24"/>
          <w:u w:val="singl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17F2"/>
    <w:rsid w:val="00E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3A2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character" w:styleId="PageNumber">
    <w:name w:val="page number"/>
    <w:basedOn w:val="DefaultParagraphFont"/>
    <w:uiPriority w:val="99"/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