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დამატებისა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</w:rPr>
      </w:pPr>
    </w:p>
    <w:p w:rsidR="00000000" w:rsidRDefault="00E07E3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60"/>
          <w:tab w:val="left" w:pos="9926"/>
        </w:tabs>
        <w:ind w:right="14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N12,   1984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421)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კოდექსს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დაემატოს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შინაარსის</w:t>
      </w:r>
      <w:r>
        <w:rPr>
          <w:rFonts w:ascii="Sylfaen" w:hAnsi="Sylfaen" w:cs="Sylfaen"/>
        </w:rPr>
        <w:t xml:space="preserve"> 125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>: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125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დგომა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მგზავრთა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ჩასხდომისა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გადმოსხდომისათვის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დროით</w:t>
      </w:r>
      <w:r>
        <w:rPr>
          <w:rFonts w:ascii="Sylfaen" w:hAnsi="Sylfaen" w:cs="Sylfaen"/>
        </w:rPr>
        <w:t xml:space="preserve"> –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საათობრივი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– 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ოცი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ავტოტრანსპორტს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გადაიყ</w:t>
      </w:r>
      <w:r>
        <w:rPr>
          <w:rFonts w:ascii="Sylfaen" w:hAnsi="Sylfaen" w:cs="Sylfaen"/>
        </w:rPr>
        <w:t>ვანს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ბლოკირებას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მძღოლს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დგომა</w:t>
      </w:r>
      <w:r>
        <w:rPr>
          <w:rFonts w:ascii="Sylfaen" w:hAnsi="Sylfaen" w:cs="Sylfaen"/>
        </w:rPr>
        <w:t xml:space="preserve"> 3-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საათამდე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დროით</w:t>
      </w:r>
      <w:r>
        <w:rPr>
          <w:rFonts w:ascii="Sylfaen" w:hAnsi="Sylfaen" w:cs="Sylfaen"/>
        </w:rPr>
        <w:t xml:space="preserve"> –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ორმოცი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</w:t>
      </w:r>
      <w:r>
        <w:rPr>
          <w:rFonts w:ascii="Sylfaen" w:hAnsi="Sylfaen" w:cs="Sylfaen"/>
        </w:rPr>
        <w:t>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დგომა</w:t>
      </w:r>
      <w:r>
        <w:rPr>
          <w:rFonts w:ascii="Sylfaen" w:hAnsi="Sylfaen" w:cs="Sylfaen"/>
        </w:rPr>
        <w:t xml:space="preserve"> 6-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</w:rPr>
        <w:t>საათამდე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დროით</w:t>
      </w:r>
      <w:r>
        <w:rPr>
          <w:rFonts w:ascii="Sylfaen" w:hAnsi="Sylfaen" w:cs="Sylfaen"/>
        </w:rPr>
        <w:t xml:space="preserve"> –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სამოცი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დგომა</w:t>
      </w:r>
      <w:r>
        <w:rPr>
          <w:rFonts w:ascii="Sylfaen" w:hAnsi="Sylfaen" w:cs="Sylfaen"/>
        </w:rPr>
        <w:t xml:space="preserve"> 9 </w:t>
      </w:r>
      <w:r>
        <w:rPr>
          <w:rFonts w:ascii="Sylfaen" w:hAnsi="Sylfaen" w:cs="Sylfaen"/>
        </w:rPr>
        <w:t>საათზე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დროით</w:t>
      </w:r>
      <w:r>
        <w:rPr>
          <w:rFonts w:ascii="Sylfaen" w:hAnsi="Sylfaen" w:cs="Sylfaen"/>
        </w:rPr>
        <w:t xml:space="preserve"> –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ლარი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მიტოვებულ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გადაიყვანს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გაუკეთებს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ბლოკირებას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ნიშანს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lastRenderedPageBreak/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სადგომზე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დამრღვევ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მძღოლს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მფლობელს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ავტოტრანსპორტის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</w:t>
      </w:r>
      <w:r>
        <w:rPr>
          <w:rFonts w:ascii="Sylfaen" w:hAnsi="Sylfaen" w:cs="Sylfaen"/>
        </w:rPr>
        <w:t>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დარღვევა</w:t>
      </w:r>
      <w:r>
        <w:rPr>
          <w:rFonts w:ascii="Sylfaen" w:hAnsi="Sylfaen" w:cs="Sylfaen"/>
        </w:rPr>
        <w:t xml:space="preserve"> –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გამოიწვევს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დაჯარიმებას</w:t>
      </w:r>
      <w:r>
        <w:rPr>
          <w:rFonts w:ascii="Sylfaen" w:hAnsi="Sylfaen" w:cs="Sylfaen"/>
        </w:rPr>
        <w:t xml:space="preserve"> 40 </w:t>
      </w:r>
      <w:r>
        <w:rPr>
          <w:rFonts w:ascii="Sylfaen" w:hAnsi="Sylfaen" w:cs="Sylfaen"/>
        </w:rPr>
        <w:t>ლარის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ოდენობით</w:t>
      </w:r>
      <w:r>
        <w:rPr>
          <w:rFonts w:ascii="Sylfaen" w:hAnsi="Sylfaen" w:cs="Sylfaen"/>
        </w:rPr>
        <w:t xml:space="preserve">. 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შენიშვნა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დედაქალაქის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პარკირების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მოწყობილობებით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</w:t>
      </w:r>
      <w:r>
        <w:rPr>
          <w:rFonts w:ascii="Sylfaen" w:hAnsi="Sylfaen" w:cs="Sylfaen"/>
        </w:rPr>
        <w:t>ობითაც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.“. 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208-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07E3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208. </w:t>
      </w:r>
      <w:r>
        <w:rPr>
          <w:rFonts w:ascii="Sylfaen" w:hAnsi="Sylfaen" w:cs="Sylfaen"/>
        </w:rPr>
        <w:t>რაიონის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განსჯადი</w:t>
      </w:r>
      <w:r>
        <w:rPr>
          <w:rFonts w:ascii="Sylfaen" w:hAnsi="Sylfaen" w:cs="Sylfaen"/>
        </w:rPr>
        <w:t xml:space="preserve"> </w:t>
      </w:r>
    </w:p>
    <w:p w:rsidR="00000000" w:rsidRDefault="00E07E3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</w:p>
    <w:p w:rsidR="00000000" w:rsidRDefault="00E07E3C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რაიონის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ქალაქის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>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–44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44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57-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79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–82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84-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–86-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    88-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–89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90-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–91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92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–100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103-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–105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12</w:t>
      </w:r>
      <w:r>
        <w:rPr>
          <w:rFonts w:ascii="Sylfaen" w:hAnsi="Sylfaen" w:cs="Sylfaen"/>
        </w:rPr>
        <w:t>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128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      143-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–144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144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–144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145-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146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–154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    155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–156-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157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–158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–159</w:t>
      </w:r>
      <w:r>
        <w:rPr>
          <w:rFonts w:ascii="Sylfaen" w:hAnsi="Sylfaen" w:cs="Sylfaen"/>
          <w:position w:val="6"/>
        </w:rPr>
        <w:t>9</w:t>
      </w:r>
      <w:r>
        <w:rPr>
          <w:rFonts w:ascii="Sylfaen" w:hAnsi="Sylfaen" w:cs="Sylfaen"/>
        </w:rPr>
        <w:t>, 163-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164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>, 165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–165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, 166-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, 171-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171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4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10</w:t>
      </w:r>
      <w:r>
        <w:rPr>
          <w:rFonts w:ascii="Sylfaen" w:hAnsi="Sylfaen" w:cs="Sylfaen"/>
        </w:rPr>
        <w:t>, 173</w:t>
      </w:r>
      <w:r>
        <w:rPr>
          <w:rFonts w:ascii="Sylfaen" w:hAnsi="Sylfaen" w:cs="Sylfaen"/>
          <w:position w:val="6"/>
        </w:rPr>
        <w:t>11</w:t>
      </w:r>
      <w:r>
        <w:rPr>
          <w:rFonts w:ascii="Sylfaen" w:hAnsi="Sylfaen" w:cs="Sylfaen"/>
        </w:rPr>
        <w:t>, 174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174</w:t>
      </w:r>
      <w:r>
        <w:rPr>
          <w:rFonts w:ascii="Sylfaen" w:hAnsi="Sylfaen" w:cs="Sylfaen"/>
          <w:position w:val="6"/>
        </w:rPr>
        <w:t>5</w:t>
      </w:r>
      <w:r>
        <w:rPr>
          <w:rFonts w:ascii="Sylfaen" w:hAnsi="Sylfaen" w:cs="Sylfaen"/>
        </w:rPr>
        <w:t>, 174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>–174</w:t>
      </w:r>
      <w:r>
        <w:rPr>
          <w:rFonts w:ascii="Sylfaen" w:hAnsi="Sylfaen" w:cs="Sylfaen"/>
          <w:position w:val="6"/>
        </w:rPr>
        <w:t>14</w:t>
      </w:r>
      <w:r>
        <w:rPr>
          <w:rFonts w:ascii="Sylfaen" w:hAnsi="Sylfaen" w:cs="Sylfaen"/>
        </w:rPr>
        <w:t>, 177</w:t>
      </w:r>
      <w:r>
        <w:rPr>
          <w:rFonts w:ascii="Sylfaen" w:hAnsi="Sylfaen" w:cs="Sylfaen"/>
          <w:position w:val="6"/>
        </w:rPr>
        <w:t>8</w:t>
      </w:r>
      <w:r>
        <w:rPr>
          <w:rFonts w:ascii="Sylfaen" w:hAnsi="Sylfaen" w:cs="Sylfaen"/>
        </w:rPr>
        <w:t>–178-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179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–183-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  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–187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189-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191-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       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ნაწილებისა</w:t>
      </w:r>
      <w:r>
        <w:rPr>
          <w:rFonts w:ascii="Sylfaen" w:hAnsi="Sylfaen" w:cs="Sylfaen"/>
        </w:rPr>
        <w:t>), 192-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196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–196</w:t>
      </w:r>
      <w:r>
        <w:rPr>
          <w:rFonts w:ascii="Sylfaen" w:hAnsi="Sylfaen" w:cs="Sylfaen"/>
          <w:position w:val="6"/>
        </w:rPr>
        <w:t>6</w:t>
      </w:r>
      <w:r>
        <w:rPr>
          <w:rFonts w:ascii="Sylfaen" w:hAnsi="Sylfaen" w:cs="Sylfaen"/>
        </w:rPr>
        <w:t>, 197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>.“.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239-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27-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„27.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>, 125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125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135-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147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150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152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ოქმს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>.“.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</w:rPr>
        <w:t xml:space="preserve"> (20.10/2009 N 1813)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8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98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4917 – I</w:t>
      </w:r>
      <w:r>
        <w:rPr>
          <w:rFonts w:ascii="Sylfaen" w:hAnsi="Sylfaen" w:cs="Sylfaen"/>
        </w:rPr>
        <w:t>ს</w:t>
      </w:r>
    </w:p>
    <w:p w:rsidR="00000000" w:rsidRDefault="00E07E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98" w:firstLine="720"/>
        <w:jc w:val="both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07E3C"/>
    <w:rsid w:val="00E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Base>C:\6\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