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b/>
          <w:bCs/>
          <w:sz w:val="40"/>
          <w:szCs w:val="4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40"/>
          <w:szCs w:val="4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40"/>
          <w:szCs w:val="4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40"/>
          <w:szCs w:val="40"/>
          <w:lang w:val="en-US"/>
        </w:rPr>
        <w:t>კანონი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იერარქიას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აღრიცხვისა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რატიფიც</w:t>
      </w:r>
      <w:r>
        <w:rPr>
          <w:rFonts w:ascii="Sylfaen" w:eastAsia="Times New Roman" w:hAnsi="Sylfaen" w:cs="Sylfaen"/>
          <w:lang w:val="en-US"/>
        </w:rPr>
        <w:t>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დენონსირებისა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კოლეგიური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VII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</w:t>
      </w:r>
      <w:r>
        <w:rPr>
          <w:rFonts w:ascii="Sylfaen" w:eastAsia="Times New Roman" w:hAnsi="Sylfaen" w:cs="Sylfaen"/>
          <w:lang w:val="en-US"/>
        </w:rPr>
        <w:t>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გამოქვეყნებისა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სახეები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სამართლე</w:t>
      </w:r>
      <w:r>
        <w:rPr>
          <w:rFonts w:ascii="Sylfaen" w:eastAsia="Times New Roman" w:hAnsi="Sylfaen" w:cs="Sylfaen"/>
          <w:lang w:val="en-US"/>
        </w:rPr>
        <w:t>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4.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გამოიცემა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ღება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გამოცემა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ერთგვაროვანი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მომწესრიგებელ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ნორმატიულ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ენაზედაც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</w:t>
      </w:r>
      <w:r>
        <w:rPr>
          <w:rFonts w:ascii="Sylfaen" w:eastAsia="Times New Roman" w:hAnsi="Sylfaen" w:cs="Sylfaen"/>
          <w:lang w:val="en-US"/>
        </w:rPr>
        <w:t>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ანალოგია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ნორმატიულ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აქტში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მოსაწესრიგებლად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საჯაროსამართლებრივ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ურთიერთ</w:t>
      </w:r>
      <w:r>
        <w:rPr>
          <w:rFonts w:ascii="Sylfaen" w:eastAsia="Times New Roman" w:hAnsi="Sylfaen" w:cs="Sylfaen"/>
          <w:lang w:val="en-US"/>
        </w:rPr>
        <w:t>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</w:t>
      </w:r>
      <w:r>
        <w:rPr>
          <w:rFonts w:ascii="Sylfaen" w:eastAsia="Times New Roman" w:hAnsi="Sylfaen" w:cs="Sylfaen"/>
          <w:lang w:val="en-US"/>
        </w:rPr>
        <w:t>ძველზე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ანალოგია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საგამონაკლისო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4629E2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6.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ათვლა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4618)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შესვლისთვის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ათვლისას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უქმე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დღეები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ექსპერტიზისა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ათვლა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იწყება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ნორმატიულ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ურთიერთმიმართება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4618)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4618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იერარქია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</w:t>
      </w:r>
      <w:r>
        <w:rPr>
          <w:rFonts w:ascii="Sylfaen" w:eastAsia="Times New Roman" w:hAnsi="Sylfaen" w:cs="Sylfaen"/>
          <w:lang w:val="en-US"/>
        </w:rPr>
        <w:t>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4618)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4618)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გამომცემი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აღმასრულე</w:t>
      </w:r>
      <w:r>
        <w:rPr>
          <w:rFonts w:ascii="Sylfaen" w:eastAsia="Times New Roman" w:hAnsi="Sylfaen" w:cs="Sylfaen"/>
          <w:lang w:val="en-US"/>
        </w:rPr>
        <w:t>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იერარქიის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გამიჯვნის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</w:t>
      </w:r>
      <w:r>
        <w:rPr>
          <w:rFonts w:ascii="Sylfaen" w:eastAsia="Times New Roman" w:hAnsi="Sylfaen" w:cs="Sylfaen"/>
          <w:lang w:val="en-US"/>
        </w:rPr>
        <w:t>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აქტე</w:t>
      </w:r>
      <w:r>
        <w:rPr>
          <w:rFonts w:ascii="Sylfaen" w:eastAsia="Times New Roman" w:hAnsi="Sylfaen" w:cs="Sylfaen"/>
          <w:b/>
          <w:bCs/>
          <w:lang w:val="en-US"/>
        </w:rPr>
        <w:t>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გამოცემის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საკანონმდებლო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შესატანი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</w:t>
      </w:r>
      <w:r>
        <w:rPr>
          <w:rFonts w:ascii="Sylfaen" w:eastAsia="Times New Roman" w:hAnsi="Sylfaen" w:cs="Sylfaen"/>
          <w:lang w:val="en-US"/>
        </w:rPr>
        <w:t>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გადასახადებისა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სტრუქ</w:t>
      </w:r>
      <w:r>
        <w:rPr>
          <w:rFonts w:ascii="Sylfaen" w:eastAsia="Times New Roman" w:hAnsi="Sylfaen" w:cs="Sylfaen"/>
          <w:lang w:val="en-US"/>
        </w:rPr>
        <w:t>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სასჯელაღსრულების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hAnsi="Sylfaen" w:cs="Sylfaen"/>
          <w:color w:val="FF0000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</w:t>
      </w:r>
      <w:r>
        <w:rPr>
          <w:rFonts w:ascii="Sylfaen" w:eastAsia="Times New Roman" w:hAnsi="Sylfaen" w:cs="Sylfaen"/>
          <w:lang w:val="en-US"/>
        </w:rPr>
        <w:t>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</w:t>
      </w:r>
      <w:r>
        <w:rPr>
          <w:rFonts w:ascii="Sylfaen" w:eastAsia="Times New Roman" w:hAnsi="Sylfaen" w:cs="Sylfaen"/>
          <w:lang w:eastAsia="x-none"/>
        </w:rPr>
        <w:t>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ერთობლივი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გამოცემის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გამოსცენ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აქტები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სამოციქულო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ავტოკეფალურ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მართლმადიდებელ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ეკლესიასთან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რატიფიცირება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დენონსირება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გამგებლობაში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629E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4629E2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4629E2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</w:t>
      </w:r>
      <w:r>
        <w:rPr>
          <w:rFonts w:ascii="Sylfaen" w:eastAsia="Times New Roman" w:hAnsi="Sylfaen" w:cs="Sylfaen"/>
          <w:lang w:val="ka-GE" w:eastAsia="ka-GE"/>
        </w:rPr>
        <w:t>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4629E2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</w:t>
      </w:r>
      <w:r>
        <w:rPr>
          <w:rFonts w:ascii="Sylfaen" w:eastAsia="Times New Roman" w:hAnsi="Sylfaen" w:cs="Sylfaen"/>
          <w:lang w:val="en-US"/>
        </w:rPr>
        <w:t>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არანორმატიულია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(4.05.2010. N3047)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</w:t>
      </w:r>
      <w:r>
        <w:rPr>
          <w:rFonts w:ascii="Sylfaen" w:eastAsia="Times New Roman" w:hAnsi="Sylfaen" w:cs="Sylfaen"/>
          <w:lang w:val="ka-GE" w:eastAsia="ka-GE"/>
        </w:rPr>
        <w:t>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მთავარსარდალი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მთავარსარდლის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t>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„საქართველოს მთავრობის სტრუქტურის, უფლებამოსილებისა და საქმიანობის წესის შესახებ“ საქართველ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ოს კანონით</w:t>
        </w:r>
      </w:hyperlink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მთავრობის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მინისტრის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ნაკლისებისა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მთავრობის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უშუალო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სტრუქტურა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</w:p>
    <w:p w:rsidR="00000000" w:rsidRDefault="004629E2">
      <w:pPr>
        <w:pStyle w:val="Normal0"/>
        <w:spacing w:line="20" w:lineRule="atLeast"/>
        <w:ind w:firstLine="61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pStyle w:val="Normal0"/>
        <w:spacing w:line="20" w:lineRule="atLeast"/>
        <w:ind w:firstLine="61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t>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დაუკვეთოს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უცხოელებს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629E2">
      <w:pPr>
        <w:pStyle w:val="Normal0"/>
        <w:spacing w:line="20" w:lineRule="atLeast"/>
        <w:ind w:firstLine="61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pStyle w:val="muxlixml"/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4629E2">
      <w:pPr>
        <w:pStyle w:val="muxlixml"/>
        <w:spacing w:line="20" w:lineRule="atLeast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გაგზავნისა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(20.12.2011. N5545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pStyle w:val="muxlixml"/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სტრუქტურა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პრეამბულა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პრეამბულაში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უსწრებდეს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ასამოქმედებლად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>)).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სქემების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ცხრილების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ნუსხების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ცხრილები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ნუსხები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უჯრები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. (4.05</w:t>
      </w:r>
      <w:r>
        <w:rPr>
          <w:rFonts w:ascii="Sylfaen" w:eastAsia="Times New Roman" w:hAnsi="Sylfaen" w:cs="Sylfaen"/>
          <w:lang w:val="ka-GE" w:eastAsia="ka-GE"/>
        </w:rPr>
        <w:t>.2010. N3047)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6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</w:t>
      </w:r>
      <w:r>
        <w:rPr>
          <w:rFonts w:ascii="Sylfaen" w:eastAsia="Times New Roman" w:hAnsi="Sylfaen" w:cs="Sylfaen"/>
          <w:lang w:val="en-US"/>
        </w:rPr>
        <w:t>ილისა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ნაწილებად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ქვეპუნქტებად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სიახლოვის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კარებად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წიგნებად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კარს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უსათაუროა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კარების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ანბანური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ანბანის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ნუმერაციით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წინადადებაც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წინადადებაც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ანბანური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</w:t>
      </w:r>
      <w:r>
        <w:rPr>
          <w:rFonts w:ascii="Sylfaen" w:eastAsia="Times New Roman" w:hAnsi="Sylfaen" w:cs="Sylfaen"/>
          <w:lang w:val="ka-GE" w:eastAsia="ka-GE"/>
        </w:rPr>
        <w:t>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ანბანური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პრიმ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ოცემა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თანდართული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ობლემა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გადასაჭრელად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</w:t>
      </w:r>
      <w:r>
        <w:rPr>
          <w:rFonts w:ascii="Sylfaen" w:eastAsia="Times New Roman" w:hAnsi="Sylfaen" w:cs="Sylfaen"/>
          <w:lang w:val="ka-GE" w:eastAsia="ka-GE"/>
        </w:rPr>
        <w:t>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N5007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N5907))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საშემოსავლო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(9.06.2022 N1647)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(9.06.2022 N1647)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საშინაო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№2515)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№2515)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ევროკავშირსა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</w:t>
      </w:r>
      <w:r>
        <w:rPr>
          <w:rFonts w:ascii="Sylfaen" w:eastAsia="Times New Roman" w:hAnsi="Sylfaen" w:cs="Sylfaen"/>
          <w:lang w:val="ka-GE" w:eastAsia="ka-GE"/>
        </w:rPr>
        <w:t>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შეთანხმებიდან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№2515)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იმპლემენტაციის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მაგალითად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29E2">
      <w:pPr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(22.06.2012 N 6536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(22.06.2012 N 6536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განმარტებითი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პრობლემის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რეგულირებით</w:t>
      </w:r>
      <w:r>
        <w:rPr>
          <w:rFonts w:ascii="Sylfaen" w:eastAsia="Times New Roman" w:hAnsi="Sylfaen" w:cs="Sylfaen"/>
          <w:lang w:val="ka-GE" w:eastAsia="ka-GE"/>
        </w:rPr>
        <w:t>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ალტერნატიული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ვარიანტები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eastAsia="x-none"/>
        </w:rPr>
        <w:t>დასტურებ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ფისკალური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რომლებზე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მოახდენს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კონსულტაციების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</w:t>
      </w:r>
      <w:r>
        <w:rPr>
          <w:rFonts w:ascii="Sylfaen" w:eastAsia="Times New Roman" w:hAnsi="Sylfaen" w:cs="Sylfaen"/>
          <w:lang w:eastAsia="x-none"/>
        </w:rPr>
        <w:t>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შეჯამება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ლობისტის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</w:t>
      </w:r>
      <w:r>
        <w:rPr>
          <w:rFonts w:ascii="Sylfaen" w:eastAsia="Times New Roman" w:hAnsi="Sylfaen" w:cs="Sylfaen"/>
          <w:lang w:val="ka-GE" w:eastAsia="ka-GE"/>
        </w:rPr>
        <w:t>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დანართი</w:t>
      </w:r>
      <w:r>
        <w:rPr>
          <w:rFonts w:ascii="Sylfaen" w:eastAsia="Times New Roman" w:hAnsi="Sylfaen" w:cs="Sylfaen"/>
          <w:lang w:val="ka-GE" w:eastAsia="ka-GE"/>
        </w:rPr>
        <w:t xml:space="preserve"> №</w:t>
      </w:r>
      <w:r>
        <w:rPr>
          <w:rFonts w:ascii="Sylfaen" w:hAnsi="Sylfaen" w:cs="Sylfaen"/>
          <w:lang w:val="ka-GE" w:eastAsia="ka-GE"/>
        </w:rPr>
        <w:t>1-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pStyle w:val="Normal0"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69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</w:t>
      </w:r>
      <w:r>
        <w:rPr>
          <w:rFonts w:ascii="Sylfaen" w:eastAsia="Times New Roman" w:hAnsi="Sylfaen" w:cs="Sylfaen"/>
          <w:lang w:val="ka-GE" w:eastAsia="ka-GE"/>
        </w:rPr>
        <w:t>იშება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pStyle w:val="Normal0"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ევროკავშირსა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შეთანხმებიდან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</w:t>
      </w:r>
      <w:r>
        <w:rPr>
          <w:rFonts w:ascii="Sylfaen" w:eastAsia="Times New Roman" w:hAnsi="Sylfaen" w:cs="Sylfaen"/>
          <w:lang w:val="ka-GE" w:eastAsia="ka-GE"/>
        </w:rPr>
        <w:t>კრულებებიდან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;               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დანართი</w:t>
      </w:r>
      <w:r>
        <w:rPr>
          <w:rFonts w:ascii="Sylfaen" w:eastAsia="Times New Roman" w:hAnsi="Sylfaen" w:cs="Sylfaen"/>
          <w:lang w:val="ka-GE" w:eastAsia="ka-GE"/>
        </w:rPr>
        <w:t xml:space="preserve"> №1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pStyle w:val="Normal0"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pStyle w:val="Normal0"/>
        <w:spacing w:line="20" w:lineRule="atLeast"/>
        <w:ind w:firstLine="705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N686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N5007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N5907))</w:t>
      </w:r>
    </w:p>
    <w:p w:rsidR="00000000" w:rsidRDefault="004629E2">
      <w:pPr>
        <w:pStyle w:val="Normal0"/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ზეგავლენის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29E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hAnsi="Sylfaen" w:cs="Sylfaen"/>
          <w:lang w:eastAsia="x-none"/>
        </w:rPr>
        <w:t>),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აქტთან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hAnsi="Sylfaen" w:cs="Sylfaen"/>
          <w:lang w:eastAsia="x-none"/>
        </w:rPr>
        <w:t>;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მდევი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pStyle w:val="Normal0"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თარიღიც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>));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</w:t>
      </w:r>
      <w:r>
        <w:rPr>
          <w:rFonts w:ascii="Sylfaen" w:hAnsi="Sylfaen" w:cs="Sylfaen"/>
          <w:lang w:val="ka-GE" w:eastAsia="ka-GE"/>
        </w:rPr>
        <w:t xml:space="preserve">.  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ექსპერტიზა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(05.02.2014. N1967)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(05.02.2014. N1967)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ადგილობრივი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თვითმმართველობის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ორგანოების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მორიგი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ების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შედეგების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ოფიციალურად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გამოცხადების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 (28.05.2015. N3616)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</w:t>
      </w:r>
      <w:r>
        <w:rPr>
          <w:rFonts w:ascii="Sylfaen" w:eastAsia="Times New Roman" w:hAnsi="Sylfaen" w:cs="Sylfaen"/>
          <w:lang w:val="ka-GE" w:eastAsia="ka-GE"/>
        </w:rPr>
        <w:t>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(05.02.2014. N1967)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</w:t>
      </w:r>
      <w:r>
        <w:rPr>
          <w:rFonts w:ascii="Sylfaen" w:eastAsia="Times New Roman" w:hAnsi="Sylfaen" w:cs="Sylfaen"/>
          <w:lang w:val="ka-GE" w:eastAsia="ka-GE"/>
        </w:rPr>
        <w:t>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pStyle w:val="Normal0"/>
        <w:spacing w:line="20" w:lineRule="atLeast"/>
        <w:ind w:firstLine="61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ცვლილების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</w:t>
      </w:r>
      <w:r>
        <w:rPr>
          <w:rFonts w:ascii="Sylfaen" w:eastAsia="Times New Roman" w:hAnsi="Sylfaen" w:cs="Sylfaen"/>
          <w:lang w:val="en-US"/>
        </w:rPr>
        <w:t>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pStyle w:val="Normal0"/>
        <w:spacing w:line="20" w:lineRule="atLeast"/>
        <w:ind w:firstLine="67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>. (20.12.2011. N5545)</w:t>
      </w:r>
    </w:p>
    <w:p w:rsidR="00000000" w:rsidRDefault="004629E2">
      <w:pPr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სიტყვების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(28.12.2012 N 190)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აფხაზეთის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(29.07.2013 N903)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</w:t>
      </w:r>
      <w:r>
        <w:rPr>
          <w:rFonts w:ascii="Sylfaen" w:eastAsia="Times New Roman" w:hAnsi="Sylfaen" w:cs="Sylfaen"/>
          <w:lang w:val="ka-GE" w:eastAsia="ka-GE"/>
        </w:rPr>
        <w:t>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აფხა</w:t>
      </w:r>
      <w:r>
        <w:rPr>
          <w:rFonts w:ascii="Sylfaen" w:eastAsia="Times New Roman" w:hAnsi="Sylfaen" w:cs="Sylfaen"/>
          <w:lang w:val="ka-GE" w:eastAsia="ka-GE"/>
        </w:rPr>
        <w:t>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აჭარის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აჭ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>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06.12.2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lang w:val="ka-GE" w:eastAsia="ka-GE"/>
        </w:rPr>
        <w:t>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დროში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24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თარიღისა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</w:t>
      </w:r>
      <w:r>
        <w:rPr>
          <w:rFonts w:ascii="Sylfaen" w:eastAsia="Times New Roman" w:hAnsi="Sylfaen" w:cs="Sylfaen"/>
          <w:lang w:val="ka-GE" w:eastAsia="ka-GE"/>
        </w:rPr>
        <w:t>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ასამოქ</w:t>
      </w:r>
      <w:r>
        <w:rPr>
          <w:rFonts w:ascii="Sylfaen" w:eastAsia="Times New Roman" w:hAnsi="Sylfaen" w:cs="Sylfaen"/>
          <w:lang w:val="ka-GE" w:eastAsia="ka-GE"/>
        </w:rPr>
        <w:t>მედებელი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</w:t>
      </w:r>
      <w:r>
        <w:rPr>
          <w:rFonts w:ascii="Sylfaen" w:eastAsia="Times New Roman" w:hAnsi="Sylfaen" w:cs="Sylfaen"/>
          <w:lang w:val="ka-GE" w:eastAsia="ka-GE"/>
        </w:rPr>
        <w:t>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მთავარსარდლის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უკუძალა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ამძიმებს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უკუძალა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იურიდი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. (05.02.2014. N1967)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გამოცემულია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</w:t>
      </w:r>
      <w:r>
        <w:rPr>
          <w:rFonts w:ascii="Sylfaen" w:eastAsia="Times New Roman" w:hAnsi="Sylfaen" w:cs="Sylfaen"/>
          <w:lang w:val="en-US"/>
        </w:rPr>
        <w:t>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გამოცემისა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</w:t>
      </w:r>
      <w:r>
        <w:rPr>
          <w:rFonts w:ascii="Sylfaen" w:eastAsia="Times New Roman" w:hAnsi="Sylfaen" w:cs="Sylfaen"/>
          <w:lang w:val="en-US"/>
        </w:rPr>
        <w:t>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გამომცემ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</w:t>
      </w:r>
      <w:r>
        <w:rPr>
          <w:rFonts w:ascii="Sylfaen" w:eastAsia="Times New Roman" w:hAnsi="Sylfaen" w:cs="Sylfaen"/>
          <w:lang w:val="en-US"/>
        </w:rPr>
        <w:t>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</w:t>
      </w:r>
      <w:r>
        <w:rPr>
          <w:rFonts w:ascii="Sylfaen" w:eastAsia="Times New Roman" w:hAnsi="Sylfaen" w:cs="Sylfaen"/>
          <w:lang w:val="en-US"/>
        </w:rPr>
        <w:t>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</w:t>
      </w:r>
      <w:r>
        <w:rPr>
          <w:rFonts w:ascii="Sylfaen" w:eastAsia="Times New Roman" w:hAnsi="Sylfaen" w:cs="Sylfaen"/>
          <w:lang w:val="en-US"/>
        </w:rPr>
        <w:t>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(05.02.2014. N1967)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ოფიციალური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</w:t>
      </w:r>
      <w:r>
        <w:rPr>
          <w:rFonts w:ascii="Sylfaen" w:eastAsia="Times New Roman" w:hAnsi="Sylfaen" w:cs="Sylfaen"/>
          <w:lang w:val="ka-GE" w:eastAsia="ka-GE"/>
        </w:rPr>
        <w:t>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“)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გამოუქვეყნებლობა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გამოუქვეყნებლობა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(4.05.2010. N3047)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(2.07.2010. N3283)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მიმღებმა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“. (01.08.2014. N2640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</w:t>
      </w:r>
      <w:r>
        <w:rPr>
          <w:rFonts w:ascii="Sylfaen" w:eastAsia="Times New Roman" w:hAnsi="Sylfaen" w:cs="Sylfaen"/>
          <w:lang w:val="ka-GE" w:eastAsia="ka-GE"/>
        </w:rPr>
        <w:t>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18"/>
          <w:szCs w:val="18"/>
          <w:lang w:val="ka-GE" w:eastAsia="ka-GE"/>
        </w:rPr>
        <w:t>(4.05.2010. N3047)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ხელმოწერიდან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(20.12.2011. N5545)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გამოსაქვეყნებლად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გაეგზავნოს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N6867)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</w:t>
      </w:r>
      <w:r>
        <w:rPr>
          <w:rFonts w:ascii="Sylfaen" w:eastAsia="Times New Roman" w:hAnsi="Sylfaen" w:cs="Sylfaen"/>
          <w:lang w:val="ka-GE" w:eastAsia="ka-GE"/>
        </w:rPr>
        <w:t>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თანახელმოწერიდან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(19.06.2012 N 6501)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5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(13.12.2019 N5570)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ასამოქმედებელი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>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სისტემატიზაციისა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(21.04.2017. N667)</w:t>
      </w: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>“ 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N2640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ითითებული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N2640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ითქვას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; (01.08.2014. N2640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სისტემატიზაცია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ind w:right="49" w:firstLine="720"/>
        <w:jc w:val="both"/>
        <w:rPr>
          <w:rFonts w:ascii="Sylfaen" w:hAnsi="Sylfaen" w:cs="Sylfaen"/>
          <w:lang w:val="ka-GE" w:eastAsia="ka-GE"/>
        </w:rPr>
      </w:pPr>
      <w:hyperlink r:id="rId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29. ნორმატიული აქტების სახელმწიფო აღრიცხვა და სისტემატიზაცია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(27.04.201</w:t>
      </w:r>
      <w:r>
        <w:rPr>
          <w:rFonts w:ascii="Sylfaen" w:hAnsi="Sylfaen" w:cs="Sylfaen"/>
          <w:sz w:val="20"/>
          <w:szCs w:val="20"/>
          <w:lang w:val="ka-GE" w:eastAsia="ka-GE"/>
        </w:rPr>
        <w:t>6. N5034)</w:t>
      </w:r>
    </w:p>
    <w:p w:rsidR="00000000" w:rsidRDefault="004629E2">
      <w:pPr>
        <w:spacing w:before="120"/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ნორმატიული აქტების სახე</w:t>
        </w:r>
        <w:r>
          <w:rPr>
            <w:rFonts w:ascii="Sylfaen" w:eastAsia="Times New Roman" w:hAnsi="Sylfaen" w:cs="Sylfaen"/>
            <w:noProof/>
            <w:lang w:val="ka-GE" w:eastAsia="ka-GE"/>
          </w:rPr>
          <w:t>ლმწიფო აღრიცხვასა და სისტემატიზაცია</w:t>
        </w:r>
      </w:hyperlink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ind w:right="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მოქმედებები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ერთჯერად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სისტემატიზაციისა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(2.07.2010. N3283)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5.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(2.07.2010. N3283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.)</w:t>
      </w:r>
    </w:p>
    <w:p w:rsidR="00000000" w:rsidRDefault="004629E2">
      <w:pPr>
        <w:tabs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(2.07.2010. N3283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.)</w:t>
      </w:r>
    </w:p>
    <w:p w:rsidR="00000000" w:rsidRDefault="004629E2">
      <w:pPr>
        <w:tabs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4629E2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გაგზავნის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(21.04.2017. N667)</w:t>
      </w:r>
    </w:p>
    <w:p w:rsidR="00000000" w:rsidRDefault="004629E2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VIII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>,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>,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>,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(4.05.2010. N3047)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(4.05.2010. N3047)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eastAsia="Times New Roman" w:hAnsi="Sylfaen" w:cs="Sylfaen"/>
          <w:lang w:val="ka-GE" w:eastAsia="ka-GE"/>
        </w:rPr>
        <w:t xml:space="preserve">, 19 </w:t>
      </w:r>
      <w:r>
        <w:rPr>
          <w:rFonts w:ascii="Sylfaen" w:eastAsia="Times New Roman" w:hAnsi="Sylfaen" w:cs="Sylfaen"/>
          <w:lang w:val="ka-GE" w:eastAsia="ka-GE"/>
        </w:rPr>
        <w:t>ნოემბერი</w:t>
      </w:r>
      <w:r>
        <w:rPr>
          <w:rFonts w:ascii="Sylfaen" w:eastAsia="Times New Roman" w:hAnsi="Sylfaen" w:cs="Sylfaen"/>
          <w:lang w:val="ka-GE" w:eastAsia="ka-GE"/>
        </w:rPr>
        <w:t xml:space="preserve">, 1996,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. 1).</w:t>
      </w:r>
    </w:p>
    <w:p w:rsidR="00000000" w:rsidRDefault="004629E2">
      <w:pPr>
        <w:spacing w:before="37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spacing w:before="37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     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დანართი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№2515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629E2">
      <w:pPr>
        <w:spacing w:before="37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4629E2">
      <w:pPr>
        <w:tabs>
          <w:tab w:val="left" w:pos="246"/>
          <w:tab w:val="left" w:pos="1417"/>
          <w:tab w:val="center" w:pos="4941"/>
        </w:tabs>
        <w:spacing w:before="37"/>
        <w:ind w:left="246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ცხრილი</w:t>
      </w:r>
    </w:p>
    <w:p w:rsidR="00000000" w:rsidRDefault="004629E2">
      <w:pPr>
        <w:tabs>
          <w:tab w:val="left" w:pos="246"/>
          <w:tab w:val="left" w:pos="1417"/>
          <w:tab w:val="center" w:pos="4941"/>
        </w:tabs>
        <w:spacing w:before="37"/>
        <w:ind w:left="246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629E2">
      <w:pPr>
        <w:tabs>
          <w:tab w:val="left" w:pos="246"/>
        </w:tabs>
        <w:spacing w:before="37"/>
        <w:ind w:left="246"/>
        <w:jc w:val="both"/>
        <w:rPr>
          <w:rFonts w:ascii="Sylfaen" w:eastAsia="Times New Roman" w:hAnsi="Sylfaen" w:cs="Sylfaen"/>
          <w:lang w:val="ka-GE" w:eastAsia="ka-G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515"/>
        <w:gridCol w:w="1741"/>
        <w:gridCol w:w="1417"/>
        <w:gridCol w:w="992"/>
        <w:gridCol w:w="1276"/>
        <w:gridCol w:w="1559"/>
        <w:gridCol w:w="1134"/>
      </w:tblGrid>
      <w:tr w:rsidR="00000000">
        <w:trPr>
          <w:trHeight w:val="257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ევროკავშირის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სამართლებრივი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აქტი</w:t>
            </w:r>
          </w:p>
          <w:p w:rsidR="00000000" w:rsidRDefault="004629E2">
            <w:pPr>
              <w:jc w:val="both"/>
              <w:rPr>
                <w:rFonts w:ascii="Sylfae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 w:cs="Sylfaen"/>
                <w:color w:val="1A1718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ნორმატიული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აქტების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პროექტი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პროექტები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შესაბამისი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მოქმედი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ნორმატიული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აქტები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არსებობის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შემთხვევაში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:</w:t>
            </w:r>
          </w:p>
          <w:p w:rsidR="00000000" w:rsidRDefault="004629E2">
            <w:pPr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>№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 xml:space="preserve">1.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ნორმატიული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პროექტი</w:t>
            </w:r>
          </w:p>
          <w:p w:rsidR="00000000" w:rsidRDefault="004629E2">
            <w:pPr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/>
              </w:rPr>
              <w:t xml:space="preserve">№2.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ნორმატიული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აქტი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</w:p>
          <w:p w:rsidR="00000000" w:rsidRDefault="004629E2">
            <w:pPr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შესაბამისობა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:</w:t>
            </w:r>
          </w:p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სშ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სრულად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შესაბამისი</w:t>
            </w:r>
          </w:p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ნშ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ნაწილობრივ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შესაბამისი</w:t>
            </w:r>
          </w:p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შეუსაბამო</w:t>
            </w:r>
          </w:p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არასავალდებულო</w:t>
            </w:r>
          </w:p>
        </w:tc>
      </w:tr>
      <w:tr w:rsidR="00000000">
        <w:trPr>
          <w:trHeight w:val="25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7</w:t>
            </w:r>
          </w:p>
        </w:tc>
      </w:tr>
      <w:tr w:rsidR="00000000">
        <w:trPr>
          <w:trHeight w:val="45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მუხლი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ნაწილი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ნორმის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ტექსტი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მუხლი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პუნქტი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ნაწილი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ნორმის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ტექსტი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ind w:firstLine="18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შესაბამისობა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შე</w:t>
            </w:r>
            <w:r>
              <w:rPr>
                <w:rFonts w:ascii="Sylfaen" w:eastAsia="Times New Roman" w:hAnsi="Sylfaen" w:cs="Sylfaen"/>
                <w:sz w:val="16"/>
                <w:szCs w:val="16"/>
                <w:lang w:val="ka-GE" w:eastAsia="ka-GE"/>
              </w:rPr>
              <w:t>ნიშვნები</w:t>
            </w:r>
          </w:p>
        </w:tc>
      </w:tr>
      <w:tr w:rsidR="00000000">
        <w:trPr>
          <w:trHeight w:val="26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ka-GE" w:eastAsia="ka-G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ka-GE" w:eastAsia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9E2">
            <w:pPr>
              <w:spacing w:after="160"/>
              <w:jc w:val="both"/>
              <w:rPr>
                <w:rFonts w:ascii="Sylfaen" w:hAnsi="Sylfaen" w:cs="Sylfaen"/>
                <w:lang w:val="en-US"/>
              </w:rPr>
            </w:pPr>
          </w:p>
        </w:tc>
      </w:tr>
    </w:tbl>
    <w:p w:rsidR="00000000" w:rsidRDefault="004629E2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ind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ind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ind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629E2">
      <w:pPr>
        <w:ind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ind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არასავალდებულო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629E2">
      <w:pPr>
        <w:ind w:firstLine="6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spacing w:before="3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პრეამბულისა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</w:t>
      </w:r>
      <w:r>
        <w:rPr>
          <w:rFonts w:ascii="Sylfaen" w:hAnsi="Sylfaen" w:cs="Sylfaen"/>
          <w:i/>
          <w:i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ოქტომბერი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62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1876 </w:t>
      </w:r>
      <w:r>
        <w:rPr>
          <w:rFonts w:ascii="Sylfaen" w:eastAsia="Times New Roman" w:hAnsi="Sylfaen" w:cs="Sylfaen"/>
          <w:lang w:val="ka-GE" w:eastAsia="ka-GE"/>
        </w:rPr>
        <w:t>–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4629E2">
      <w:pPr>
        <w:spacing w:line="20" w:lineRule="atLeast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Literaturuly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29E2"/>
    <w:rsid w:val="004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/>
      <w:spacing w:before="36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  <w:ind w:left="10" w:hanging="10"/>
      <w:jc w:val="both"/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harChar">
    <w:name w:val="Char Char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12">
    <w:name w:val="Char Char12"/>
    <w:basedOn w:val="DefaultParagraphFont"/>
    <w:uiPriority w:val="99"/>
    <w:rPr>
      <w:rFonts w:ascii="SPLiteraturuly MT" w:hAnsi="SPLiteraturuly MT" w:cs="SPLiteraturuly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90052" TargetMode="External"/><Relationship Id="rId5" Type="http://schemas.openxmlformats.org/officeDocument/2006/relationships/hyperlink" Target="https://matsne.gov.ge/ka/document/view/90052" TargetMode="External"/><Relationship Id="rId4" Type="http://schemas.openxmlformats.org/officeDocument/2006/relationships/hyperlink" Target="https://matsne.gov.ge/ka/document/view/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10585</Words>
  <Characters>60337</Characters>
  <Application>Microsoft Office Word</Application>
  <DocSecurity>0</DocSecurity>
  <Lines>502</Lines>
  <Paragraphs>141</Paragraphs>
  <ScaleCrop>false</ScaleCrop>
  <Company/>
  <LinksUpToDate>false</LinksUpToDate>
  <CharactersWithSpaces>70781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