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საერთო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სასამართლოების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დებულებანი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შტოებისაგან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მსაჯულება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დარღვევისთვის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სამართალწარმოებისა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AE689C">
      <w:pPr>
        <w:pStyle w:val="ListParagraph"/>
        <w:tabs>
          <w:tab w:val="left" w:pos="284"/>
        </w:tabs>
        <w:spacing w:line="240" w:lineRule="auto"/>
        <w:ind w:left="0"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9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ცდილობს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ალბათობის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ურთიერთშეთავსებად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დამაჯერებელ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ხარისხისათვი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Normal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დეკრეტით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განსჯადობა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დეკრეტი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განსაჯოს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იურისდიქციასაც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დაწყვეტილებათა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სავალდებულოობა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lastRenderedPageBreak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color w:val="FF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საქვეყნოობის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შეუცვლელობისა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შეჯიბრებითობის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დამოუკიდებლობა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hAnsi="Sylfaen" w:cs="Sylfaen"/>
          <w:sz w:val="24"/>
          <w:szCs w:val="24"/>
          <w:lang w:eastAsia="x-non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განხილვისგან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ჩამოცილება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დაასკვნის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რათ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მთლიანად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მიჩნეულ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შეუსაბამოდ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შეაჩერებს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ძალადაკარგულ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en-US"/>
        </w:rPr>
        <w:t>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საერთო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სასამართლოების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</w:t>
      </w:r>
      <w:r>
        <w:rPr>
          <w:rFonts w:ascii="Sylfaen" w:eastAsia="Times New Roman" w:hAnsi="Sylfaen" w:cs="Sylfaen"/>
          <w:b/>
          <w:bCs/>
          <w:lang w:val="en-US"/>
        </w:rPr>
        <w:t xml:space="preserve">-7 </w:t>
      </w:r>
      <w:r>
        <w:rPr>
          <w:rFonts w:ascii="Sylfaen" w:eastAsia="Times New Roman" w:hAnsi="Sylfaen" w:cs="Sylfaen"/>
          <w:b/>
          <w:bCs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</w:t>
      </w:r>
      <w:r>
        <w:rPr>
          <w:rFonts w:ascii="Sylfaen" w:eastAsia="Times New Roman" w:hAnsi="Sylfaen" w:cs="Sylfaen"/>
          <w:b/>
          <w:bCs/>
          <w:lang w:val="en-US"/>
        </w:rPr>
        <w:t xml:space="preserve">-3 </w:t>
      </w:r>
      <w:r>
        <w:rPr>
          <w:rFonts w:ascii="Sylfaen" w:eastAsia="Times New Roman" w:hAnsi="Sylfaen" w:cs="Sylfaen"/>
          <w:b/>
          <w:bCs/>
          <w:lang w:val="en-US"/>
        </w:rPr>
        <w:t>პუნქტის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</w:t>
      </w:r>
      <w:r>
        <w:rPr>
          <w:rFonts w:ascii="Sylfaen" w:eastAsia="Times New Roman" w:hAnsi="Sylfaen" w:cs="Sylfaen"/>
          <w:b/>
          <w:bCs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lang w:val="en-US"/>
        </w:rPr>
        <w:t>წინადადებისა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საკ</w:t>
      </w:r>
      <w:r>
        <w:rPr>
          <w:rFonts w:ascii="Sylfaen" w:eastAsia="Times New Roman" w:hAnsi="Sylfaen" w:cs="Sylfaen"/>
          <w:b/>
          <w:bCs/>
          <w:lang w:val="en-US"/>
        </w:rPr>
        <w:t>ონსტიტუციო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სასამართლოს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</w:t>
      </w:r>
      <w:r>
        <w:rPr>
          <w:rFonts w:ascii="Sylfaen" w:eastAsia="Times New Roman" w:hAnsi="Sylfaen" w:cs="Sylfaen"/>
          <w:b/>
          <w:bCs/>
          <w:lang w:val="en-US"/>
        </w:rPr>
        <w:t xml:space="preserve">-19 </w:t>
      </w:r>
      <w:r>
        <w:rPr>
          <w:rFonts w:ascii="Sylfaen" w:eastAsia="Times New Roman" w:hAnsi="Sylfaen" w:cs="Sylfaen"/>
          <w:b/>
          <w:bCs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</w:t>
      </w:r>
      <w:r>
        <w:rPr>
          <w:rFonts w:ascii="Sylfaen" w:eastAsia="Times New Roman" w:hAnsi="Sylfaen" w:cs="Sylfaen"/>
          <w:b/>
          <w:bCs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lang w:val="en-US"/>
        </w:rPr>
        <w:t>პუნქტის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</w:t>
      </w:r>
      <w:r>
        <w:rPr>
          <w:rFonts w:ascii="Sylfaen" w:eastAsia="Times New Roman" w:hAnsi="Sylfaen" w:cs="Sylfaen"/>
          <w:b/>
          <w:bCs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lang w:val="en-US"/>
        </w:rPr>
        <w:t>წინადადების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შინაარსი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რომელიც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გამორიცხავს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საერთო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სასამართლოს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შეჩერებული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განახლებას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შემთხვევაში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როდესაც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კონსტიტუციური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წარდგინ</w:t>
      </w:r>
      <w:r>
        <w:rPr>
          <w:rFonts w:ascii="Sylfaen" w:eastAsia="Times New Roman" w:hAnsi="Sylfaen" w:cs="Sylfaen"/>
          <w:b/>
          <w:bCs/>
          <w:lang w:val="en-US"/>
        </w:rPr>
        <w:t>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მიჩნეული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ნორმა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აღარ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წარმოადგენს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შეჩერებულ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საქმეზე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გამოსაყენებელ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კანონს</w:t>
      </w:r>
      <w:r>
        <w:rPr>
          <w:rFonts w:ascii="Sylfaen" w:eastAsia="Times New Roman" w:hAnsi="Sylfaen" w:cs="Sylfaen"/>
          <w:b/>
          <w:bCs/>
          <w:lang w:val="en-US"/>
        </w:rPr>
        <w:t>.  (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>21.04.2022 N 3/4/1648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დაუშვებლობა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ეკრძალებათ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შელახვა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უპატივცემულობისათვის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ამართლოსადმი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უპატივცემულობას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თარჯიმანი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</w:t>
      </w:r>
      <w:r>
        <w:rPr>
          <w:rFonts w:ascii="Sylfaen" w:eastAsia="Times New Roman" w:hAnsi="Sylfaen" w:cs="Sylfaen"/>
          <w:sz w:val="24"/>
          <w:szCs w:val="24"/>
          <w:lang w:val="en-US"/>
        </w:rPr>
        <w:t>ღაურდება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შეიკავოს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AE689C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8"/>
        <w:rPr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(24.06.2011. N4952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საქვეყნოობა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საქვეყნოდ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(6.03.2013 N 260)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დარბაზში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კინო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ვიდეოგადაღება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(1.05.2013 N 580)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გაშუქება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(1.05.2013 N 580)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ვიდეოჩაწერა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სასამართლომ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ვიდეოჩანაწერის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განჩინება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დახურვის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მხარეები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მოაწერონ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ხელწერილს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ვიდეოჩანაწერის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გაუმჟღავნებლობაზე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საზოგადოებრი</w:t>
      </w:r>
      <w:r>
        <w:rPr>
          <w:rFonts w:ascii="Sylfaen" w:eastAsia="Times New Roman" w:hAnsi="Sylfaen" w:cs="Sylfaen"/>
          <w:lang w:val="en-US"/>
        </w:rPr>
        <w:t>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შეუზღუდავად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ფოტოგადაღება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კინო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ვიდეო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აუდიოჩაწერა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განჩინება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დახურვის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საეთერო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საეთერო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არჩევს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ვალდებულებაც</w:t>
      </w:r>
      <w:r>
        <w:rPr>
          <w:rFonts w:ascii="Sylfaen" w:eastAsia="Times New Roman" w:hAnsi="Sylfaen" w:cs="Sylfaen"/>
          <w:lang w:eastAsia="x-none"/>
        </w:rPr>
        <w:t xml:space="preserve">. (12.06.2015. N3696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17 </w:t>
      </w:r>
      <w:r>
        <w:rPr>
          <w:rFonts w:ascii="Sylfaen" w:eastAsia="Times New Roman" w:hAnsi="Sylfaen" w:cs="Sylfaen"/>
          <w:lang w:eastAsia="x-none"/>
        </w:rPr>
        <w:t>ივნისიდან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4.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დარბაზში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</w:t>
      </w:r>
      <w:r>
        <w:rPr>
          <w:rFonts w:ascii="Sylfaen" w:eastAsia="Times New Roman" w:hAnsi="Sylfaen" w:cs="Sylfaen"/>
          <w:lang w:val="en-US"/>
        </w:rPr>
        <w:t>გადაღება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კინო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ვიდეოჩაწერა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ადგილიდან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დარბაზში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აუდიოჩაწერა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დარბაზში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ხმაური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შუქის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ემისიების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მართლმსაჯულების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მოსამართლეს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ნაფიცი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მსაჯულები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მონაწილეობენ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ფოტოგადაღება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კინო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ვიდეო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აუდიოჩაწერა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ნაფიც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მსაჯულების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გადაღების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გარეგნული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გამხელის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მოტივირებული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შუამდგომლობის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გარეგნული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გამხელა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ნებადართულია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ეზოსა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დერეფანში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ფოტოგადაღება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კინო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ვიდეო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აუდიოჩაწერა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ეთერში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მობილური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ტელეფონის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კომპიუტერის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ფოტო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კინო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ვიდეო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აუდიოსაშუალებების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(18.09.20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მედიატორთა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მოწესრიგებული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90-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(01.11.2013. N1489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)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სტრუქტურა</w:t>
      </w:r>
    </w:p>
    <w:p w:rsidR="00000000" w:rsidRDefault="00AE689C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(8.02.2017. N255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(01.08.2014 N2647)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რესტიტუციისა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რალებულთა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რესტიტუციისა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(01.08.2014 N2647)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იშვიათ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პრობლემას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იზიარებს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(10.12.2010. N3959)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(10.12.2010. N3959)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ვმჯდომარეებისა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იზიარებს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(10.12.2010. N3959)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პლენუმი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(01.11.2013. N1489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(01.11.2013. N1489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მოისმინოს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სარედაქციო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(20.12.2011. N5529)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თანასწორუფლებიანი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ხალხის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ესამედისა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დაუჭირა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(27.03.2012. N5920)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ჩამოაშოროს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სადისციპლინ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პალატა</w:t>
      </w:r>
      <w:hyperlink r:id="rId4" w:history="1">
        <w:r>
          <w:rPr>
            <w:rStyle w:val="Hyperlink"/>
            <w:rFonts w:ascii="Sylfaen" w:hAnsi="Sylfaen" w:cs="Sylfaen"/>
            <w:noProof/>
            <w:color w:val="000000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color w:val="000000"/>
            <w:sz w:val="24"/>
            <w:szCs w:val="24"/>
            <w:u w:val="none"/>
            <w:lang w:val="ka-GE" w:eastAsia="ka-GE"/>
          </w:rPr>
          <w:t xml:space="preserve">ამ კანონის         </w:t>
        </w:r>
        <w:r>
          <w:rPr>
            <w:rFonts w:ascii="Sylfaen" w:hAnsi="Sylfaen" w:cs="Sylfaen"/>
            <w:noProof/>
            <w:sz w:val="24"/>
            <w:szCs w:val="24"/>
            <w:lang w:val="ka-GE" w:eastAsia="ka-GE"/>
          </w:rPr>
          <w:t>XIII</w:t>
        </w:r>
        <w:r>
          <w:rPr>
            <w:rFonts w:ascii="Sylfaen" w:hAnsi="Sylfaen" w:cs="Sylfaen"/>
            <w:noProof/>
            <w:position w:val="12"/>
            <w:sz w:val="24"/>
            <w:szCs w:val="24"/>
            <w:lang w:val="ka-GE" w:eastAsia="ka-GE"/>
          </w:rPr>
          <w:t>1</w:t>
        </w:r>
        <w:r>
          <w:rPr>
            <w:rFonts w:ascii="Sylfaen" w:hAnsi="Sylfaen" w:cs="Sylfaen"/>
            <w:noProof/>
            <w:sz w:val="24"/>
            <w:szCs w:val="24"/>
            <w:lang w:val="ka-GE" w:eastAsia="ka-GE"/>
          </w:rPr>
          <w:t xml:space="preserve"> </w:t>
        </w:r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 xml:space="preserve">თავით </w:t>
        </w:r>
        <w:r>
          <w:rPr>
            <w:rStyle w:val="Hyperlink"/>
            <w:rFonts w:ascii="Sylfaen" w:eastAsia="Times New Roman" w:hAnsi="Sylfaen" w:cs="Sylfaen"/>
            <w:noProof/>
            <w:color w:val="000000"/>
            <w:sz w:val="24"/>
            <w:szCs w:val="24"/>
            <w:u w:val="none"/>
            <w:lang w:val="ka-GE" w:eastAsia="ka-GE"/>
          </w:rPr>
          <w:t>დადგენილი წესით</w:t>
        </w:r>
      </w:hyperlink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 (04.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05.2018.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№2267)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(01.08.2014 N2647)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,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ჩამოშორდეს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(01.08.2014 N2647)</w:t>
      </w:r>
    </w:p>
    <w:p w:rsidR="00000000" w:rsidRDefault="00AE689C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(1.05.2013 N 580)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(27.10.2015. N4389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(21.12.2016.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N169)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ვიწრო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(07.03.2018.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№20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34)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უფლებამ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ოსილების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უფლებამოსილება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. (07.03.2018.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№2034)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უფარდებს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(16.06.2017. N1050) (27.10.2015. N4389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N169)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განაზოგადებს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უპატივცემულობის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(07.03.2018.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№2034)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მოვალეობას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; (07.03.2018.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№2034)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არყ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ოფნისას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დავალებით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. (07.03.2018.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№20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>34)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შედიოდნენ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ინტენსიურობის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ვიწრო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უფარდებს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(16.06.2017. N1050) (27.10.2015. N4389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N169)</w:t>
      </w:r>
    </w:p>
    <w:p w:rsidR="00000000" w:rsidRDefault="00AE689C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განაზოგადებს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(21/07.2010 N 3523)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უპატივცემულობის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(8.02.20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წაეყენება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(01.11.2013. N1489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№4526)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(16.06.2017. N1052)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13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№4526)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ავტობიოგრაფია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გასაჯაროებაზე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ვაკანსიაზე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ავტობიოგრაფიები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№7205)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№7205)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ასაბუთებს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/36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აღმოუფხვრელობის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გადავიდნენ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ვაკანსიაც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გადავლენ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უკეთესად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ანაბარია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სათითაოდ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დანარჩენ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დანარჩენ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უკეთესად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№7205)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ვაკანსიაც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№7205)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შეივსო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13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№4526)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№7205)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სიზუსტეს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დაუკავშირდეს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გააბათილოს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დალუქული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hyperlink r:id="rId5" w:anchor="!" w:history="1">
        <w:r>
          <w:rPr>
            <w:rFonts w:ascii="Sylfaen" w:eastAsia="Times New Roman" w:hAnsi="Sylfaen" w:cs="Sylfaen"/>
            <w:noProof/>
            <w:color w:val="000000"/>
            <w:sz w:val="24"/>
            <w:szCs w:val="24"/>
            <w:lang w:val="ka-GE" w:eastAsia="ka-GE"/>
          </w:rPr>
          <w:t>მუხლი 34</w:t>
        </w:r>
        <w:r>
          <w:rPr>
            <w:rFonts w:ascii="Sylfaen" w:hAnsi="Sylfaen" w:cs="Sylfaen"/>
            <w:noProof/>
            <w:color w:val="000000"/>
            <w:position w:val="12"/>
            <w:sz w:val="24"/>
            <w:szCs w:val="24"/>
            <w:lang w:val="ka-GE" w:eastAsia="ka-GE"/>
          </w:rPr>
          <w:t>3</w:t>
        </w:r>
        <w:r>
          <w:rPr>
            <w:rFonts w:ascii="Sylfaen" w:hAnsi="Sylfaen" w:cs="Sylfaen"/>
            <w:noProof/>
            <w:color w:val="000000"/>
            <w:sz w:val="24"/>
            <w:szCs w:val="24"/>
            <w:lang w:val="ka-GE" w:eastAsia="ka-GE"/>
          </w:rPr>
          <w:t xml:space="preserve">. 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მიკერძოებული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გადაამეტა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დაირღვა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მოეხდინა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დაირღვა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გააერთიანოს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მთხვევაში</w:t>
      </w:r>
      <w:r>
        <w:rPr>
          <w:rFonts w:ascii="Sylfaen" w:hAnsi="Sylfaen" w:cs="Sylfaen"/>
          <w:sz w:val="24"/>
          <w:szCs w:val="24"/>
          <w:lang w:eastAsia="x-none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გადაისინჯება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გადასინჯვისას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-13/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გადაისინჯება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-13/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-13/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დანარჩენ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-13/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№447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ავალდებულებს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გასამწესებლად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(16.06.2017. N1052)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გასამწესებლად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გასამწესებლად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ვეტილებებიც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პრეცედენტული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დამაჯერებლ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სინდისი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პატიოსნება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სიზუსტე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მაგალითად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მედეგობა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სიმტკიცე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შეუვალობა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თავდაჭერილობა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პრეცედენტული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მეტყველების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მოთმინებით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პუნქტუალურობა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შრომისმოყვარეობა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სტრესულ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მიზანდასახულობა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სიახლეების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საოფისე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შეჯერებ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გასამწესებლად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სიზუსტეს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trike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დაუკავშირდეს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გააბათილოს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დალუქული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საეჭვოს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აბსტრაქტულად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მიკერძოებული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გადაამეტა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დაირღვა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ემოქმედა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ვერცერთმა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№4526)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№4526)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(01.11.2013. N1489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AE689C">
      <w:pPr>
        <w:pStyle w:val="mimgeb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jc w:val="both"/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       4</w:t>
      </w:r>
      <w:r>
        <w:rPr>
          <w:rFonts w:ascii="Sylfaen" w:hAnsi="Sylfaen" w:cs="Sylfaen"/>
          <w:b w:val="0"/>
          <w:bCs w:val="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გამწესდება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თვ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4</w:t>
      </w:r>
      <w:r>
        <w:rPr>
          <w:rFonts w:ascii="Sylfaen" w:hAnsi="Sylfaen" w:cs="Sylfaen"/>
          <w:b w:val="0"/>
          <w:bCs w:val="0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მსჯელობს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გაამწესოს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თანამდე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ბობაზე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                     3-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მოსამართლეზე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მუშ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აობის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გასულა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გამწესდებიან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აოდენობის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2/3-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დანიშნულია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გააგრძელებს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. (16.06.2017. N1052)</w:t>
      </w:r>
      <w:r>
        <w:rPr>
          <w:rFonts w:ascii="Sylfaen" w:hAnsi="Sylfaen" w:cs="Sylfaen"/>
          <w:b w:val="0"/>
          <w:bCs w:val="0"/>
          <w:sz w:val="44"/>
          <w:szCs w:val="44"/>
          <w:lang w:val="ka-GE" w:eastAsia="ka-GE"/>
        </w:rPr>
        <w:t xml:space="preserve"> </w:t>
      </w:r>
    </w:p>
    <w:p w:rsidR="00000000" w:rsidRDefault="00AE689C">
      <w:pPr>
        <w:tabs>
          <w:tab w:val="left" w:pos="709"/>
        </w:tabs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დახასიათებას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(01.08.2014 N2647)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ბიექტურობაში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(01.08.2014 N2647)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გაუგრძელდა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გაუგრძელდა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(30.10.2014. N2726)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ჩამოცილებულ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(01.08.2014 N2647)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გასამწესებლად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(01.08.2014 N2647)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(01.08.2014 N2647)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სინდისი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პატიოსნება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სიმართლისმოყვარეობა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სიზუსტე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მაგალითად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მედეგობა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სიმყარე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შეუვალობა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თავდაჭერილობა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დაპირისპირებისა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პრეცედენტული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პრეცედენტული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დამაჯერებლობა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მეტყველების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პუნქტუალურობა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გულმოდგინება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შრომისმოყვარეობა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დაუხმარებლად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სტრესულ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მიზანდასახულობა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სისწრაფე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სიახლეების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თვითგანვითარე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საოფისე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დისკუსიებში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(01.08.2014 N2647)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პარალელუ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გაუმჟღავნონ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ვიდეოჩანაწერები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მოიძიოს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უტოლდებოდეს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პარალელურად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პრეცედენტული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დამაჯერებლობის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გადაამეტა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ფხვრისა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შემდეგნაირად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დალუქული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ილუქება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ფასებების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შეჯერების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მახასიათებლებით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ექვსი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მოპოვებულ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სიდიდე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კრიტერიუმისათვის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2/3-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უმრავლესობით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18.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დალუქული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გაიხსნება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წარუმატებელი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2/3-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კენჭისყრით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დაუჭირა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დაუჭირა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(01.08.2014 N2647)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მიკერძოებული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გადაამეტა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დაირღვა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დამადასტურებლადაც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ემოქმედა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გამოასწოროს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დაირღვა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(01.08.2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014 N2647)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მოახსენებს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ეკითხება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დაემორჩილონ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გამორკვევას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წარმოთქვამს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გამოვიდნენ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რეპლიკებით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(01.08.2014 N2647)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(01.08.2014 N2647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:rsidR="00000000" w:rsidRDefault="00AE689C">
      <w:pPr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0" w:name="part_44"/>
      <w:bookmarkEnd w:id="0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E68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მკვეთრი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E68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მივლინებულ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მივლინება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(01.11.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2013. N1489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გაჩხრეკა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284"/>
        </w:tabs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გადააყენო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(20.03.2015. N3397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(27.10.2015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N4389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N169)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pStyle w:val="Normal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u w:val="single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2"/>
          <w:szCs w:val="22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27.03.2012 N 5920)</w:t>
      </w:r>
    </w:p>
    <w:p w:rsidR="00000000" w:rsidRDefault="00AE689C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(01.11.2013. N1489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ამორიცხულა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გაიზიარებს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ჩამოცილებულია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ბჭო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(1.05.2013 N 580)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მოღვაწე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მკვლევრებისგ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(16.06.2017. N1052)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№3903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№3903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№3903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№3903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№3903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(01.11.2013. N1489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12.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13.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ეწეოდეს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</w:t>
      </w:r>
      <w:r>
        <w:rPr>
          <w:rFonts w:ascii="Sylfaen" w:eastAsia="Times New Roman" w:hAnsi="Sylfaen" w:cs="Sylfaen"/>
          <w:lang w:val="ka-GE" w:eastAsia="ka-GE"/>
        </w:rPr>
        <w:t>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(01.11.2013. N1489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AE689C">
      <w:pPr>
        <w:pStyle w:val="Normal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>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</w:t>
      </w:r>
      <w:r>
        <w:rPr>
          <w:rFonts w:ascii="Sylfaen" w:eastAsia="Times New Roman" w:hAnsi="Sylfaen" w:cs="Sylfaen"/>
          <w:lang w:val="ka-GE" w:eastAsia="ka-GE"/>
        </w:rPr>
        <w:t>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1/3-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</w:t>
      </w:r>
      <w:r>
        <w:rPr>
          <w:rFonts w:ascii="Sylfaen" w:eastAsia="Times New Roman" w:hAnsi="Sylfaen" w:cs="Sylfaen"/>
          <w:lang w:val="ka-GE" w:eastAsia="ka-GE"/>
        </w:rPr>
        <w:t>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(1.05.2013 N 580)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(20.03.2015. N3397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ოწურვა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№3903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(07.03.2018.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№2034)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hAnsi="Sylfaen" w:cs="Sylfaen"/>
          <w:color w:val="000000"/>
          <w:position w:val="18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უმაღლ</w:t>
      </w:r>
      <w:r>
        <w:rPr>
          <w:rFonts w:ascii="Sylfaen" w:eastAsia="Times New Roman" w:hAnsi="Sylfaen" w:cs="Sylfaen"/>
          <w:color w:val="000000"/>
          <w:lang w:val="ka-GE" w:eastAsia="ka-GE"/>
        </w:rPr>
        <w:t>ესი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(01.11.2013. N1489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E689C">
      <w:pPr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(20.12.2011. N5529)</w:t>
      </w:r>
    </w:p>
    <w:p w:rsidR="00000000" w:rsidRDefault="00AE689C">
      <w:pPr>
        <w:spacing w:line="20" w:lineRule="atLeast"/>
        <w:ind w:firstLine="662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(27.10.2015. N4389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N169)</w:t>
      </w:r>
    </w:p>
    <w:p w:rsidR="00000000" w:rsidRDefault="00AE689C">
      <w:pPr>
        <w:spacing w:line="20" w:lineRule="atLeast"/>
        <w:ind w:firstLine="66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(13.12.2013. N1789)</w:t>
      </w:r>
    </w:p>
    <w:p w:rsidR="00000000" w:rsidRDefault="00AE689C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(27.10.2015. N4389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N169)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№5906)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2/3-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.2013 N 580)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50.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(1.05.2013 N 580)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</w:t>
      </w:r>
      <w:r>
        <w:rPr>
          <w:rFonts w:ascii="Sylfaen" w:eastAsia="Times New Roman" w:hAnsi="Sylfaen" w:cs="Sylfaen"/>
          <w:lang w:val="ka-GE" w:eastAsia="ka-GE"/>
        </w:rPr>
        <w:t>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</w:t>
      </w:r>
      <w:r>
        <w:rPr>
          <w:rFonts w:ascii="Sylfaen" w:eastAsia="Times New Roman" w:hAnsi="Sylfaen" w:cs="Sylfaen"/>
          <w:lang w:val="ka-GE" w:eastAsia="ka-GE"/>
        </w:rPr>
        <w:t>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2/3-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(13.12.2013. N1789)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პარალელურად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(27.03.2012. N5920)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(27.10.2015. N4389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N169)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სარევიზიო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</w:t>
      </w:r>
      <w:r>
        <w:rPr>
          <w:rFonts w:ascii="Sylfaen" w:eastAsia="Times New Roman" w:hAnsi="Sylfaen" w:cs="Sylfaen"/>
          <w:lang w:val="ka-GE" w:eastAsia="ka-GE"/>
        </w:rPr>
        <w:t>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 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</w:t>
      </w:r>
      <w:r>
        <w:rPr>
          <w:rFonts w:ascii="Sylfaen" w:eastAsia="Times New Roman" w:hAnsi="Sylfaen" w:cs="Sylfaen"/>
          <w:lang w:val="ka-GE" w:eastAsia="ka-GE"/>
        </w:rPr>
        <w:t>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1/3-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მოისმინოს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გამოიკვლიოს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დოკუმენტბრუნვა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pStyle w:val="abzacixml0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</w:t>
      </w:r>
      <w:r>
        <w:rPr>
          <w:rFonts w:ascii="Sylfaen" w:eastAsia="Times New Roman" w:hAnsi="Sylfaen" w:cs="Sylfaen"/>
          <w:lang w:val="ka-GE" w:eastAsia="ka-GE"/>
        </w:rPr>
        <w:t>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პროაქტიულად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რჯებთან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N5529)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(20.12.2011. N5529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AE68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(27.10.2015. N4389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N169)</w:t>
      </w:r>
    </w:p>
    <w:p w:rsidR="00000000" w:rsidRDefault="00AE68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ხარჯთაღრიცხვას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(27.10.2015. N4389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N169)</w:t>
      </w:r>
    </w:p>
    <w:p w:rsidR="00000000" w:rsidRDefault="00AE68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(12.12.2014. N2943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(21/07.2010 N 3523)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(27.10.2015. N4389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N169)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დასახვეწად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წაეყენება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(20.12.2011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N5529)</w:t>
      </w:r>
    </w:p>
    <w:p w:rsidR="00000000" w:rsidRDefault="00AE689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(26.04.2012 N 6092)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(27.10.2015. N4389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N169)</w:t>
      </w:r>
    </w:p>
    <w:p w:rsidR="00000000" w:rsidRDefault="00AE689C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(27.10.2015. N4389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N169)</w:t>
      </w: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(16.06.2017. N1050) (27.10.2015. N4389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N169)</w:t>
      </w:r>
    </w:p>
    <w:p w:rsidR="00000000" w:rsidRDefault="00AE689C">
      <w:pPr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(20.12.2011. N5529)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მოიძიებს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ლიტერატურასა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pStyle w:val="Normal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(8.02.2017. N255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ანბანური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მანდატურად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საერთო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59-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პუნქტებთან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14.12.2018. №3/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2/767,1272)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მოვალეობანი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ნდატურს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მოგერიებისას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გარშემომყოფთ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მოგერიებისას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გარშემომყოფთა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ფეხმძიმე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ფეხმძიმე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ფეხმძიმე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ხალხის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განმტკიცებას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ქარტიი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ქარტიას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(1.05.2013 N 580)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(1.05.2013 N 580)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(1.05.2013 N 580)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2/3-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</w:t>
      </w:r>
      <w:r>
        <w:rPr>
          <w:rFonts w:ascii="Sylfaen" w:eastAsia="Times New Roman" w:hAnsi="Sylfaen" w:cs="Sylfaen"/>
          <w:lang w:val="ka-GE" w:eastAsia="ka-GE"/>
        </w:rPr>
        <w:t>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ქარტიითა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</w:t>
      </w:r>
      <w:r>
        <w:rPr>
          <w:rFonts w:ascii="Sylfaen" w:eastAsia="Times New Roman" w:hAnsi="Sylfaen" w:cs="Sylfaen"/>
          <w:lang w:val="ka-GE" w:eastAsia="ka-GE"/>
        </w:rPr>
        <w:t>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. (8.02.2017. N255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 xml:space="preserve">. 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</w:t>
      </w:r>
      <w:r>
        <w:rPr>
          <w:rFonts w:ascii="Sylfaen" w:eastAsia="Times New Roman" w:hAnsi="Sylfaen" w:cs="Sylfaen"/>
          <w:lang w:val="ka-GE" w:eastAsia="ka-GE"/>
        </w:rPr>
        <w:t>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1/4-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1/4-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1/5-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ამოწურვისთა</w:t>
      </w:r>
      <w:r>
        <w:rPr>
          <w:rFonts w:ascii="Sylfaen" w:eastAsia="Times New Roman" w:hAnsi="Sylfaen" w:cs="Sylfaen"/>
          <w:lang w:val="ka-GE" w:eastAsia="ka-GE"/>
        </w:rPr>
        <w:t>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(1.05.2013 N 580)</w:t>
      </w:r>
    </w:p>
    <w:p w:rsidR="00000000" w:rsidRDefault="00AE689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(1.05.2013 N 580)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</w:p>
    <w:p w:rsidR="00000000" w:rsidRDefault="00AE689C">
      <w:pPr>
        <w:tabs>
          <w:tab w:val="left" w:pos="709"/>
        </w:tabs>
        <w:ind w:firstLine="851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გაღრმავება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თანდათანობით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დასაკომპლექტებლად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პეციალისტების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დანარჩენ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ასისტენტ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სტრიქონით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ჩასარიცხი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გამოიჩენს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არაზუსტია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გაღრმავება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დისკუსია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დასასრულს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ჩაუბარებლობის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დასასრულს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მიმაგრებუ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დასასრულს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ნაშრომი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დასასრულს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ნაშრომს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ნაშრომი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ილუქება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დასასრულს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დასასრულს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ჩაუბარებლობის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გამოიყვანება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დამამთავრებელი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სიახლეების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მეცადინეობების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დისკუსიის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დაუთმოს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(13.12.2019.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საგამომცემლო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(27.03.2012. N5920)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კანონპროექტ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ემუქრება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აცვას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(01.11.2013. N1489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62-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(07.03.2018. </w:t>
      </w:r>
      <w:r>
        <w:rPr>
          <w:rFonts w:ascii="Sylfaen" w:eastAsia="Times New Roman" w:hAnsi="Sylfaen" w:cs="Sylfaen"/>
          <w:color w:val="262626"/>
          <w:sz w:val="24"/>
          <w:szCs w:val="24"/>
          <w:lang w:val="ka-GE" w:eastAsia="ka-GE"/>
        </w:rPr>
        <w:t>№2034)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22.03.2011.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N4461)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284"/>
        </w:tabs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7 000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pStyle w:val="ListParagraph"/>
        <w:tabs>
          <w:tab w:val="left" w:pos="284"/>
        </w:tabs>
        <w:spacing w:line="240" w:lineRule="auto"/>
        <w:ind w:left="0"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              6 500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pStyle w:val="ListParagraph"/>
        <w:tabs>
          <w:tab w:val="left" w:pos="284"/>
        </w:tabs>
        <w:spacing w:line="240" w:lineRule="auto"/>
        <w:ind w:left="0"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6 300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6 000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5 800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5 600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pStyle w:val="ListParagraph"/>
        <w:tabs>
          <w:tab w:val="left" w:pos="284"/>
        </w:tabs>
        <w:spacing w:line="240" w:lineRule="auto"/>
        <w:ind w:left="0"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5 300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4 600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pStyle w:val="ListParagraph"/>
        <w:tabs>
          <w:tab w:val="left" w:pos="284"/>
        </w:tabs>
        <w:spacing w:line="240" w:lineRule="auto"/>
        <w:ind w:left="0"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                4 300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pStyle w:val="ListParagraph"/>
        <w:tabs>
          <w:tab w:val="left" w:pos="284"/>
        </w:tabs>
        <w:spacing w:line="240" w:lineRule="auto"/>
        <w:ind w:left="0"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4 000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284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u w:val="single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</w:p>
    <w:p w:rsidR="00000000" w:rsidRDefault="00AE689C">
      <w:pPr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№3796) (21.07.2018. 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№3796) (21.07.2018. 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შეჯიბრებითობის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eastAsia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eastAsia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</w:t>
      </w:r>
      <w:r>
        <w:rPr>
          <w:rFonts w:eastAsia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№3796) (21.07.2018. 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საქციელად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№3796) (21.07.2018. 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№3796) (21.07.2018. 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№3796) (21.07.2018. 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№3796) (21.07.2018. 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№3796) (21.07.2018. 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გამოიძახოს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ჩამოაყალიბონ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796) (21.07.2018. 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№3796) (2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1.07.2018. 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№3796) (21.07.2018. 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284"/>
        </w:tabs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სასახლე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ჩაცმულობით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(01.11.2013. N1489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არმოება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აცნობიერებდა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გაეთვალისწინებინა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კიდეც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გაეთვალისწინებინა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გამოუწვ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72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თვითაცილებაზე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-5, 5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-13, 13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, 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ინტენსიური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მეგობრული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მიკერძოებას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შევიწროების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თათბირის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თვითმხილველია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სიმრავლე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უპატივცემულობის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თვითმხილველია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ზნეობრივ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დაქვითვა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20%-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დაქვითვა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გასაჯაროება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თათბირისა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გასაჯაროება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ანონიმური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აღმოუფხვრელობის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ეყრდნობა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მოიძიოს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ავტომატიზირებული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იკვეთება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ოვლინდა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ეყრდნობა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გააერთიანოს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მოისმინოს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შემამსუბუქებელი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დამამძიმებელი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1" w:name="part_139"/>
      <w:bookmarkEnd w:id="1"/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მუხლი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75</w:t>
      </w:r>
      <w:r>
        <w:rPr>
          <w:rStyle w:val="Hyperlink"/>
          <w:rFonts w:eastAsia="Times New Roman"/>
          <w:color w:val="auto"/>
          <w:position w:val="6"/>
          <w:sz w:val="24"/>
          <w:szCs w:val="24"/>
          <w:u w:val="none"/>
          <w:lang w:val="ka-GE" w:eastAsia="ka-GE"/>
        </w:rPr>
        <w:t>​</w:t>
      </w:r>
      <w:r>
        <w:rPr>
          <w:rStyle w:val="Hyperlink"/>
          <w:rFonts w:ascii="Sylfaen" w:hAnsi="Sylfaen" w:cs="Sylfaen"/>
          <w:color w:val="auto"/>
          <w:position w:val="12"/>
          <w:sz w:val="24"/>
          <w:szCs w:val="24"/>
          <w:u w:val="none"/>
          <w:lang w:val="ka-GE" w:eastAsia="ka-GE"/>
        </w:rPr>
        <w:t>11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val="ka-GE" w:eastAsia="ka-GE"/>
        </w:rPr>
        <w:t xml:space="preserve">.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დისციპლინური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საქმის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წარმოების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შეჩერება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დაბრკოლება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ამოიწურა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გასაჯაროე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ეყრდნობა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ალბათობის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მხარდასაჭერად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მხარდასაჭერად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შეპასუხება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შეპასუხების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შეპასუხების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მოისმინოს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№3903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სარევიზიო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მიიწვიონ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მოისმინონ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№3903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წაუყენებიათ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შეჯიბრებითობის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ჩამოსცილდეს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ჩამოსცილდეს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დაასახელოს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მიკერძოებისა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დაუკმაყოფილებლობის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№2194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ამოიწურა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გაჭიანურებით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წასაყენებლად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საპასუხოდ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მოსასმენად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შემოიფარგლება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თანასწორუფლებიანობის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გამოსახატავად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გაუცნობლად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მოიფხვრება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გააერთიანოს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მიუძღვის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აყალიბებს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ამოიწურა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დაუდასტურებლობის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ურთიერთშეთავსებად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დელიკატურობის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მიზანშეუწონლად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გაუმჟღავნებლობის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დალუქული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ურთიერთშეთავსებად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დამაჯერებელ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ჩაურევლობის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სიმძიმეს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მოჰყოლოდა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9"/>
        </w:tabs>
        <w:ind w:firstLine="85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მიზანშეუწონლად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დამწყები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გადასინჯვა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ასაჩი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ასაჩივრებს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20"/>
        <w:jc w:val="both"/>
        <w:rPr>
          <w:rFonts w:ascii="LitNusx" w:hAnsi="LitNusx" w:cs="LitNusx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მოახსენებს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ეკითხება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დაემორჩილონ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ამოკვლევასა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გამორკვევას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წარმოთქვამს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გამოვიდნენ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რეპლიკით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გაასწოროს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უსწორობანი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არითმეტიკული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(20.04.2018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გაამართლა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დასატოვებლად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გადააკვალიფიციროს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მიზანშეუწონელი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გაამართლა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(20.04.2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არაკანონიერმა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დაირღვა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ხელმოუწერელია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პლენუმს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(20.04.20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№1346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(20.04.201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გასაჯაროება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გასაჯაროება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თათბირის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სამივლინებო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სამივლინებო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გაქარწყლება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გაქარწყლებულად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დაწინაუ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გაამწესოს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ხელმიუწვდომელია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გამამწესებელ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XIV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განეხორციელებინა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მოსაყვანად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ატესტაცია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85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გაუგრძელდა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AE689C">
      <w:pPr>
        <w:tabs>
          <w:tab w:val="left" w:pos="9720"/>
          <w:tab w:val="left" w:pos="990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widowControl/>
        <w:tabs>
          <w:tab w:val="left" w:pos="708"/>
          <w:tab w:val="left" w:pos="1416"/>
          <w:tab w:val="left" w:pos="2127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12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widowControl/>
        <w:tabs>
          <w:tab w:val="left" w:pos="708"/>
          <w:tab w:val="left" w:pos="1416"/>
          <w:tab w:val="left" w:pos="2127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</w:p>
    <w:p w:rsidR="00000000" w:rsidRDefault="00AE689C">
      <w:pPr>
        <w:widowControl/>
        <w:tabs>
          <w:tab w:val="left" w:pos="708"/>
          <w:tab w:val="left" w:pos="1416"/>
          <w:tab w:val="left" w:pos="2127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AE689C">
      <w:pPr>
        <w:widowControl/>
        <w:tabs>
          <w:tab w:val="left" w:pos="708"/>
          <w:tab w:val="left" w:pos="1416"/>
          <w:tab w:val="left" w:pos="2127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22.03.2011. N4461)</w:t>
      </w: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გასატარებელი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(21/07.2010 N 3523)</w:t>
      </w: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(20.12.2011. N5529)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გასატარებელი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(20.12.2011. N5529)</w:t>
      </w: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900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(16.06.2017. N1052)</w:t>
      </w: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№2194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E689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№150-II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9720"/>
          <w:tab w:val="left" w:pos="990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N33,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1997,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75);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N14(21), 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62);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1996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N19-20, 30.07.96,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37);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2002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N32, 20.12.2002,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146).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სააკაშვილი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2257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AE68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E689C"/>
    <w:rsid w:val="00A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line="360" w:lineRule="atLeast"/>
      <w:ind w:left="720"/>
      <w:jc w:val="both"/>
    </w:pPr>
    <w:rPr>
      <w:sz w:val="20"/>
      <w:szCs w:val="20"/>
    </w:rPr>
  </w:style>
  <w:style w:type="paragraph" w:customStyle="1" w:styleId="abzacixml">
    <w:name w:val="abzaci_xml"/>
    <w:basedOn w:val="Normal"/>
    <w:next w:val="PlainText"/>
    <w:uiPriority w:val="99"/>
    <w:pPr>
      <w:widowControl/>
      <w:ind w:firstLine="283"/>
      <w:jc w:val="both"/>
    </w:pPr>
    <w:rPr>
      <w:sz w:val="22"/>
      <w:szCs w:val="22"/>
    </w:rPr>
  </w:style>
  <w:style w:type="paragraph" w:customStyle="1" w:styleId="saxexml">
    <w:name w:val="saxe_xml"/>
    <w:basedOn w:val="abzacixml"/>
    <w:uiPriority w:val="99"/>
    <w:pPr>
      <w:spacing w:before="120"/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customStyle="1" w:styleId="mimgebixml">
    <w:name w:val="mimgebi_xml"/>
    <w:basedOn w:val="Normal"/>
    <w:uiPriority w:val="99"/>
    <w:pPr>
      <w:widowControl/>
      <w:ind w:firstLine="284"/>
      <w:jc w:val="center"/>
    </w:pPr>
    <w:rPr>
      <w:b/>
      <w:bCs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8"/>
      <w:szCs w:val="28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ataurixml">
    <w:name w:val="satauri_xml"/>
    <w:basedOn w:val="Normal"/>
    <w:uiPriority w:val="99"/>
    <w:pPr>
      <w:widowControl/>
      <w:spacing w:before="240" w:after="120"/>
      <w:jc w:val="center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customStyle="1" w:styleId="s9">
    <w:name w:val="s9"/>
    <w:basedOn w:val="Normal"/>
    <w:uiPriority w:val="99"/>
    <w:pPr>
      <w:widowControl/>
      <w:spacing w:before="100" w:after="100"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ind w:left="117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3"/>
      <w:szCs w:val="23"/>
    </w:rPr>
  </w:style>
  <w:style w:type="paragraph" w:customStyle="1" w:styleId="TableParagraph">
    <w:name w:val="Table Paragraph"/>
    <w:basedOn w:val="Normal"/>
    <w:uiPriority w:val="99"/>
    <w:rPr>
      <w:sz w:val="22"/>
      <w:szCs w:val="22"/>
    </w:rPr>
  </w:style>
  <w:style w:type="paragraph" w:customStyle="1" w:styleId="ydp768e3709msonormal">
    <w:name w:val="ydp768e3709msonormal"/>
    <w:basedOn w:val="Normal"/>
    <w:uiPriority w:val="99"/>
    <w:pPr>
      <w:widowControl/>
      <w:spacing w:before="100" w:after="100"/>
    </w:pPr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s8">
    <w:name w:val="s8"/>
    <w:basedOn w:val="DefaultParagraphFont"/>
    <w:uiPriority w:val="99"/>
  </w:style>
  <w:style w:type="character" w:customStyle="1" w:styleId="s17">
    <w:name w:val="s17"/>
    <w:basedOn w:val="DefaultParagraphFont"/>
    <w:uiPriority w:val="99"/>
  </w:style>
  <w:style w:type="paragraph" w:customStyle="1" w:styleId="AutoCorrect">
    <w:name w:val="AutoCorrect"/>
    <w:basedOn w:val="Normal0"/>
    <w:uiPriority w:val="99"/>
    <w:pPr>
      <w:widowControl/>
      <w:spacing w:after="200" w:line="276" w:lineRule="auto"/>
    </w:pPr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FootnoteReference">
    <w:name w:val="footnote reference"/>
    <w:basedOn w:val="DefaultParagraphFont"/>
    <w:uiPriority w:val="99"/>
    <w:rPr>
      <w:position w:val="6"/>
    </w:rPr>
  </w:style>
  <w:style w:type="paragraph" w:customStyle="1" w:styleId="Default">
    <w:name w:val="Default"/>
    <w:basedOn w:val="Normal0"/>
    <w:uiPriority w:val="99"/>
    <w:pPr>
      <w:widowControl/>
    </w:pPr>
    <w:rPr>
      <w:rFonts w:ascii="Times New Roman" w:hAnsi="Times New Roman" w:cs="Times New Roman"/>
      <w:color w:val="000000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basedOn w:val="DefaultParagraphFont"/>
    <w:uiPriority w:val="99"/>
    <w:rPr>
      <w:sz w:val="20"/>
      <w:szCs w:val="20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sne.gov.ge/document/view/90676?publication=38" TargetMode="External"/><Relationship Id="rId4" Type="http://schemas.openxmlformats.org/officeDocument/2006/relationships/hyperlink" Target="https://matsne.gov.ge/ka/document/view/16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54563</Words>
  <Characters>311012</Characters>
  <Application>Microsoft Office Word</Application>
  <DocSecurity>0</DocSecurity>
  <Lines>2591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364846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