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ნოტარიატის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დებულებანი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მიუკერძოებელია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№5238)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. (0</w:t>
      </w:r>
      <w:r>
        <w:rPr>
          <w:rFonts w:ascii="Sylfaen" w:hAnsi="Sylfaen" w:cs="Sylfaen"/>
          <w:sz w:val="20"/>
          <w:szCs w:val="20"/>
          <w:lang w:val="en-US"/>
        </w:rPr>
        <w:t xml:space="preserve">6.07.2010.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3363)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საწყისებზე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განმკარგულებელი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სმენადაქვეითებულია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მცოდნე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(11.12.2013 N 1732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მოანდერძის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ფირნიშებსა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ბლანკებზე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№5238)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spacing w:after="0" w:line="240" w:lineRule="auto"/>
        <w:ind w:firstLine="709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333333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333333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(10.03.2017. N453)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N1526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ვერბალურ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მათემატიკურ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spacing w:after="0" w:line="240" w:lineRule="auto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N4951)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(20.12.2011. N5573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ab/>
        <w:t>5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(10.12.2015. N4610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N5573.)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(20.12.2011. N5573 )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(24.06.2011. N4951)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b/>
          <w:bCs/>
          <w:color w:val="000000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ძალადაკარგულ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იქნეს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ცნობილი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ნოტარიატის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”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კანონის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მე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მუხლის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რველი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პუნქტის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 ,,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”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ქვეპუნქტის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სიტყვების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გათავისუფლდა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საჯარო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სამსახურიდან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...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დისციპლინური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გადაცდომის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ჩადენის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 xml:space="preserve">”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ნორმატიული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შინაარსი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კრძალავს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დისციპლინური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გადაცდომის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ჩადენის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გამო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საჯარო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სამსახურიდან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გათავისუფლებული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პირების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ნოტარიუსად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დანიშვნას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კონსტიტუციის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მე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მუხლთან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x-none"/>
        </w:rPr>
        <w:t>მიმართებით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საკონსტიტუციო</w:t>
      </w:r>
      <w:r>
        <w:rPr>
          <w:rFonts w:ascii="Sylfaen" w:hAnsi="Sylfaen" w:cs="Sylfaen"/>
          <w:b/>
          <w:b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სასამართლოს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eastAsia="x-none"/>
        </w:rPr>
        <w:t>გადაწყვეტილება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 13.11.2014.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2/5/556)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(6.07.2010. N3363)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ნქტით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(20.12.2011. N5573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(22.05.2012 N 6255)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(22.05.2012 N 6255)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(22.05.2012 N 6255)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(22.05.2012 N 6255)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(22.05.2012 N 6255)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(22.05.2012 N 6255)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(10.03.2017. N453)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N1526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(20.03.2015. N3356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(6.07.2010. N3363)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(16.03.2012 N 5851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>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(10.12.2015. </w:t>
      </w:r>
      <w:r>
        <w:rPr>
          <w:rFonts w:ascii="Sylfaen" w:hAnsi="Sylfaen" w:cs="Sylfaen"/>
          <w:sz w:val="24"/>
          <w:szCs w:val="24"/>
          <w:lang w:eastAsia="x-none"/>
        </w:rPr>
        <w:t xml:space="preserve">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სოლიდარულად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თარჯიმანთან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</w:t>
      </w:r>
      <w:r>
        <w:rPr>
          <w:rFonts w:ascii="Sylfaen" w:hAnsi="Sylfaen" w:cs="Sylfaen"/>
          <w:position w:val="18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(16.03.2012 N 5851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სოლიდარულად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დამფუძნებლებმა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შეუთავსებლობა</w:t>
      </w:r>
    </w:p>
    <w:p w:rsidR="00000000" w:rsidRDefault="00B01B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რეკლამირება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(16.03.2012 N 5851)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ფინანსები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(03.06.2016 N5158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(10.12.2015. N4610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709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განზრახმა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გაუფრთხილებელმა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</w:t>
      </w:r>
      <w:r>
        <w:rPr>
          <w:rFonts w:ascii="Sylfaen" w:hAnsi="Sylfaen" w:cs="Sylfaen"/>
          <w:position w:val="18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(16.03.2012 N 5851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ასანაზღაურებლა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(20.12.2011. N5573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.)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შენაცვლების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მშობიარობის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ხალშობილის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ავადმყოფობა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გამგზავრება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ბეჭედსა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(16.03.2012 N 5851)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en-US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უკანასკნელს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უკუმოთხოვნის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შეუფერებლობის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თეორიულ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გასავლელად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(20.12.2011. N5573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.)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(16.03.2012 N 5851)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01B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32.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წევრო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შენატანი</w:t>
      </w:r>
    </w:p>
    <w:p w:rsidR="00000000" w:rsidRDefault="00B01B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ნოტარიუსი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საწევრო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შენატანი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ნოტარიუსთა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უფლებამოსილებანი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მოისმინოს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განაზოგადოს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12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ხარჯთაღრიცხვაში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16.03.2012 N 5851)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გაახმაურონ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(11.12.2013 N 1732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IV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სამემკვიდრეო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სისწორეს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სისწორეს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ფოტოსურათზე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დეპოზიტში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პროტესტს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გასანაღდებლად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გაუნაღდებლობას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შესანახა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პროტესტს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(16.03.2012 N 5851)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ვადადამდგარი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დატვირთულ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(16.03.2012 N 5851)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</w:t>
      </w:r>
      <w:r>
        <w:rPr>
          <w:rFonts w:ascii="Sylfaen" w:hAnsi="Sylfaen" w:cs="Sylfaen"/>
          <w:position w:val="18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(16.03.2012 N 5851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)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სამემკვიდრეო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სამეზობლო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8"/>
          <w:szCs w:val="48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მოდავე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(03.06.2016 N5158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>(16.03.2012 N 5851)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(16.03.2012 N 5851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დუბლიკატს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დუბლიკატის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8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>(16.03.2012 N 5851)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Normal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(05.02.2014. N1968)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პროფილაქტიკურ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სანატორიუმში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ინვალიდთა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სანატორიუმის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ინვალიდთა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ჰოსპიტალში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სანატორიუმსა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ჰოსპიტლის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სანატორიუმისა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ექსპედიციებში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(6.07.2010. N3363)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შენაერთის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შენაერთის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(1.05.2015. N3552)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მოანდერძე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მოანდერძის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გადახდევინებული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№6948)</w:t>
      </w:r>
    </w:p>
    <w:p w:rsidR="00000000" w:rsidRDefault="00B01B5C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01B5C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საზღაურს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ახდევინებენ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საზღაურისა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პალატისთვის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(05.02.2014. N1968)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ოფიცია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ლურად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შეილახოს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იცნობენ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ხელმომწერმა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მუნჯია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განემარტა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უცოდინარი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უსინათლოა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(05.02.2014. N1968)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(05.02.2014. N1968)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შემლახველ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შეუერთდა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V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გაუვიდათ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სამემკვიდრეო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ანდერძების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</w:t>
      </w:r>
      <w:r>
        <w:rPr>
          <w:rFonts w:ascii="Sylfaen" w:eastAsia="Times New Roman" w:hAnsi="Sylfaen" w:cs="Sylfaen"/>
          <w:lang w:val="ka-GE" w:eastAsia="ka-GE"/>
        </w:rPr>
        <w:t>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. (6.07.2010. N3363)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66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N012, 31.05.96,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16).</w:t>
      </w:r>
    </w:p>
    <w:p w:rsidR="00000000" w:rsidRDefault="00B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სააკაშვილი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N 2283 – 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B0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09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4315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1B5C"/>
    <w:rsid w:val="00B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spacing w:after="0" w:line="240" w:lineRule="auto"/>
      <w:ind w:firstLine="283"/>
      <w:jc w:val="both"/>
    </w:pPr>
    <w:rPr>
      <w:sz w:val="22"/>
      <w:szCs w:val="22"/>
    </w:rPr>
  </w:style>
  <w:style w:type="paragraph" w:customStyle="1" w:styleId="parlamdrst">
    <w:name w:val="parlamdrst"/>
    <w:basedOn w:val="PlainText"/>
    <w:uiPriority w:val="99"/>
    <w:pPr>
      <w:tabs>
        <w:tab w:val="left" w:pos="283"/>
      </w:tabs>
      <w:spacing w:after="0" w:line="240" w:lineRule="auto"/>
      <w:ind w:firstLine="283"/>
      <w:jc w:val="both"/>
    </w:pPr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CharChar4"/>
    <w:uiPriority w:val="99"/>
    <w:rPr>
      <w:b/>
      <w:bCs/>
    </w:rPr>
  </w:style>
  <w:style w:type="character" w:customStyle="1" w:styleId="CharChar2">
    <w:name w:val="Char Char2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sz w:val="22"/>
      <w:szCs w:val="22"/>
    </w:rPr>
  </w:style>
  <w:style w:type="character" w:customStyle="1" w:styleId="CharChar">
    <w:name w:val="Char Char"/>
    <w:basedOn w:val="DefaultParagraphFont"/>
    <w:uiPriority w:val="99"/>
    <w:rPr>
      <w:sz w:val="22"/>
      <w:szCs w:val="22"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9774</Words>
  <Characters>55714</Characters>
  <Application>Microsoft Office Word</Application>
  <DocSecurity>0</DocSecurity>
  <Lines>464</Lines>
  <Paragraphs>130</Paragraphs>
  <ScaleCrop>false</ScaleCrop>
  <Company/>
  <LinksUpToDate>false</LinksUpToDate>
  <CharactersWithSpaces>65358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