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მეწარმეთა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1994, NN21-22,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455)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არქიტექტურული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საადვოკატო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სააუდიტო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საკონსულტაციო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</w:t>
      </w:r>
      <w:r>
        <w:rPr>
          <w:rFonts w:ascii="Sylfaen" w:hAnsi="Sylfaen" w:cs="Sylfaen"/>
          <w:sz w:val="24"/>
          <w:szCs w:val="24"/>
        </w:rPr>
        <w:t>ნსულტანტთა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სატყეო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სასოფლო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სატყეო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</w:t>
      </w:r>
      <w:r>
        <w:rPr>
          <w:rFonts w:ascii="Sylfaen" w:hAnsi="Sylfaen" w:cs="Sylfaen"/>
          <w:sz w:val="24"/>
          <w:szCs w:val="24"/>
        </w:rPr>
        <w:t>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სოლიდარული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სპს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კომანდიტური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შპს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კორპორაცია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კოოპერატივი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წარმოიშობა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სოლიდარული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შემდეგაც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ოლიდარული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კომანდიტური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კოოპერატივი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კომპანიები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-4–5</w:t>
      </w:r>
      <w:r>
        <w:rPr>
          <w:rFonts w:ascii="Sylfaen" w:hAnsi="Sylfaen" w:cs="Sylfaen"/>
          <w:position w:val="6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(25.12.2009 N2457)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</w:t>
      </w:r>
      <w:r>
        <w:rPr>
          <w:rFonts w:ascii="Sylfaen" w:hAnsi="Sylfaen" w:cs="Sylfaen"/>
          <w:sz w:val="24"/>
          <w:szCs w:val="24"/>
        </w:rPr>
        <w:t>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>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გაცნობისთანავე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კორესპონდენცია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კორესპონდენციად</w:t>
      </w:r>
      <w:r>
        <w:rPr>
          <w:rFonts w:ascii="Sylfaen" w:hAnsi="Sylfaen" w:cs="Sylfaen"/>
          <w:sz w:val="24"/>
          <w:szCs w:val="24"/>
        </w:rPr>
        <w:t>) (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საწარმოსათვის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</w:t>
      </w:r>
      <w:r>
        <w:rPr>
          <w:rFonts w:ascii="Sylfaen" w:hAnsi="Sylfaen" w:cs="Sylfaen"/>
          <w:sz w:val="24"/>
          <w:szCs w:val="24"/>
        </w:rPr>
        <w:t>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ინსტრუქციით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შემდგომში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>).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კომანდიტური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აღნიშვნა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წესდებასთან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შეთანხმებასთან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</w:t>
      </w:r>
      <w:r>
        <w:rPr>
          <w:rFonts w:ascii="Sylfaen" w:hAnsi="Sylfaen" w:cs="Sylfaen"/>
          <w:sz w:val="24"/>
          <w:szCs w:val="24"/>
        </w:rPr>
        <w:t>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პროკურისტის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დოკუმენტს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პროკურისტის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დანიშვნაზე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პროკურისტის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დანიშვნაზე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რეგ</w:t>
      </w:r>
      <w:r>
        <w:rPr>
          <w:rFonts w:ascii="Sylfaen" w:hAnsi="Sylfaen" w:cs="Sylfaen"/>
          <w:sz w:val="24"/>
          <w:szCs w:val="24"/>
        </w:rPr>
        <w:t>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ნიმუშები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გამოიყენებენ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ხელმძღვანელობაზე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</w:t>
      </w:r>
      <w:r>
        <w:rPr>
          <w:rFonts w:ascii="Sylfaen" w:hAnsi="Sylfaen" w:cs="Sylfaen"/>
          <w:sz w:val="24"/>
          <w:szCs w:val="24"/>
        </w:rPr>
        <w:t>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ეკვივალენტურ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სარეგისტრაციოდ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ეკვივალენტურობის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630"/>
        <w:jc w:val="both"/>
        <w:rPr>
          <w:sz w:val="24"/>
          <w:szCs w:val="24"/>
        </w:rPr>
      </w:pP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ზღუდავს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პარტნიორების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პროკურისტის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</w:t>
      </w:r>
      <w:r>
        <w:rPr>
          <w:rFonts w:ascii="Sylfaen" w:hAnsi="Sylfaen" w:cs="Sylfaen"/>
          <w:sz w:val="24"/>
          <w:szCs w:val="24"/>
        </w:rPr>
        <w:t>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პროკურისტის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აქციო</w:t>
      </w:r>
      <w:r>
        <w:rPr>
          <w:rFonts w:ascii="Sylfaen" w:hAnsi="Sylfaen" w:cs="Sylfaen"/>
          <w:sz w:val="24"/>
          <w:szCs w:val="24"/>
        </w:rPr>
        <w:t>ნერების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</w:t>
      </w:r>
      <w:r>
        <w:rPr>
          <w:rFonts w:ascii="Sylfaen" w:hAnsi="Sylfaen" w:cs="Sylfaen"/>
          <w:sz w:val="24"/>
          <w:szCs w:val="24"/>
        </w:rPr>
        <w:t>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აძლევს</w:t>
      </w:r>
      <w:r>
        <w:rPr>
          <w:rFonts w:ascii="Sylfaen" w:hAnsi="Sylfaen" w:cs="Sylfaen"/>
          <w:sz w:val="24"/>
          <w:szCs w:val="24"/>
        </w:rPr>
        <w:t xml:space="preserve">  30-</w:t>
      </w:r>
      <w:r>
        <w:rPr>
          <w:rFonts w:ascii="Sylfaen" w:hAnsi="Sylfaen" w:cs="Sylfaen"/>
          <w:sz w:val="24"/>
          <w:szCs w:val="24"/>
        </w:rPr>
        <w:t>დღიან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აღმოსაფხვრელად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აღმოი</w:t>
      </w:r>
      <w:r>
        <w:rPr>
          <w:rFonts w:ascii="Sylfaen" w:hAnsi="Sylfaen" w:cs="Sylfaen"/>
          <w:sz w:val="24"/>
          <w:szCs w:val="24"/>
        </w:rPr>
        <w:t>ფხვრება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</w:t>
      </w:r>
      <w:r>
        <w:rPr>
          <w:rFonts w:ascii="Sylfaen" w:hAnsi="Sylfaen" w:cs="Sylfaen"/>
          <w:sz w:val="24"/>
          <w:szCs w:val="24"/>
        </w:rPr>
        <w:t>აციოდ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7. 5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</w:t>
      </w:r>
      <w:r>
        <w:rPr>
          <w:rFonts w:ascii="Sylfaen" w:hAnsi="Sylfaen" w:cs="Sylfaen"/>
          <w:sz w:val="24"/>
          <w:szCs w:val="24"/>
        </w:rPr>
        <w:t>ისტრაციისათვის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განცხადებაში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ეკვივალენტურ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სარ</w:t>
      </w:r>
      <w:r>
        <w:rPr>
          <w:rFonts w:ascii="Sylfaen" w:hAnsi="Sylfaen" w:cs="Sylfaen"/>
          <w:sz w:val="24"/>
          <w:szCs w:val="24"/>
        </w:rPr>
        <w:t>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შესავსებად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მატარებელზე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8. 5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9. 5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განმცხადებლის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სოლიდარული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სახელს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სპს</w:t>
      </w:r>
      <w:r>
        <w:rPr>
          <w:rFonts w:ascii="Sylfaen" w:hAnsi="Sylfaen" w:cs="Sylfaen"/>
          <w:sz w:val="24"/>
          <w:szCs w:val="24"/>
        </w:rPr>
        <w:t>“-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კომანდიტური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კს</w:t>
      </w:r>
      <w:r>
        <w:rPr>
          <w:rFonts w:ascii="Sylfaen" w:hAnsi="Sylfaen" w:cs="Sylfaen"/>
          <w:sz w:val="24"/>
          <w:szCs w:val="24"/>
        </w:rPr>
        <w:t>“-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კს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მათგანის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(25.12.2009 N2457)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</w:t>
      </w:r>
      <w:r>
        <w:rPr>
          <w:rFonts w:ascii="Sylfaen" w:hAnsi="Sylfaen" w:cs="Sylfaen"/>
        </w:rPr>
        <w:t>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საჯაროობა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გაეცნოს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ამონაწერი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ამონაწერი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მომზადებისათვის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მზადდება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>.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მეწარმეთა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არასამეწარმეო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არაკომერციული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</w:t>
      </w:r>
      <w:r>
        <w:rPr>
          <w:rFonts w:ascii="Sylfaen" w:hAnsi="Sylfaen" w:cs="Sylfaen"/>
        </w:rPr>
        <w:t>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განთავსებულია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ვებგვერდზე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ხელმისაწვდომია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უტყუარობისა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სისრულის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პრეზუმფცია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უზუსტობა</w:t>
      </w:r>
      <w:r>
        <w:rPr>
          <w:rFonts w:ascii="Sylfaen" w:hAnsi="Sylfaen" w:cs="Sylfaen"/>
        </w:rPr>
        <w:t>.“.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ხელმძღვანელობის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სოლ</w:t>
      </w:r>
      <w:r>
        <w:rPr>
          <w:rFonts w:ascii="Sylfaen" w:hAnsi="Sylfaen" w:cs="Sylfaen"/>
          <w:sz w:val="24"/>
          <w:szCs w:val="24"/>
        </w:rPr>
        <w:t>იდარული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კომანდიტურ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კომპლემენტარებს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კომპლემენტარი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</w:t>
      </w:r>
      <w:r>
        <w:rPr>
          <w:rFonts w:ascii="Sylfaen" w:hAnsi="Sylfaen" w:cs="Sylfaen"/>
          <w:sz w:val="24"/>
          <w:szCs w:val="24"/>
        </w:rPr>
        <w:t>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კოოპერატივში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დირექტორებს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</w:t>
      </w:r>
      <w:r>
        <w:rPr>
          <w:rFonts w:ascii="Sylfaen" w:hAnsi="Sylfaen" w:cs="Sylfaen"/>
          <w:sz w:val="24"/>
          <w:szCs w:val="24"/>
        </w:rPr>
        <w:t>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რეე</w:t>
      </w:r>
      <w:r>
        <w:rPr>
          <w:rFonts w:ascii="Sylfaen" w:hAnsi="Sylfaen" w:cs="Sylfaen"/>
          <w:sz w:val="24"/>
          <w:szCs w:val="24"/>
        </w:rPr>
        <w:t>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შეიზღუდოს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სავაჭრო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პროკურისტი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რეგისტრირდება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პროკურა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ფუნქციონირებასთან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გასხვისებ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პროკურისტს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მიეცემა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პროკურის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ბათილია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პროკურის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შემოფარგვლას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</w:t>
      </w:r>
      <w:r>
        <w:rPr>
          <w:rFonts w:ascii="Sylfaen" w:hAnsi="Sylfaen" w:cs="Sylfaen"/>
          <w:sz w:val="24"/>
          <w:szCs w:val="24"/>
        </w:rPr>
        <w:t>იალები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გამოისახება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დაერთვება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სახელწოდება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</w:t>
      </w:r>
      <w:r>
        <w:rPr>
          <w:rFonts w:ascii="Sylfaen" w:hAnsi="Sylfaen" w:cs="Sylfaen"/>
          <w:sz w:val="24"/>
          <w:szCs w:val="24"/>
        </w:rPr>
        <w:t>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მენტიდან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გაუგზავნონ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</w:t>
      </w:r>
      <w:r>
        <w:rPr>
          <w:rFonts w:ascii="Sylfaen" w:hAnsi="Sylfaen" w:cs="Sylfaen"/>
          <w:sz w:val="24"/>
          <w:szCs w:val="24"/>
        </w:rPr>
        <w:t>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ლიკვიდატორი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</w:t>
      </w:r>
      <w:r>
        <w:rPr>
          <w:rFonts w:ascii="Sylfaen" w:hAnsi="Sylfaen" w:cs="Sylfaen"/>
          <w:sz w:val="24"/>
          <w:szCs w:val="24"/>
        </w:rPr>
        <w:t>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საწარმომ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ლიკვიდატორმა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ნოტარიუსის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გადაწყვიტეს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ნატურით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შეინარჩუნონ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მიბარების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დეპოზიტზე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</w:t>
      </w:r>
      <w:r>
        <w:rPr>
          <w:rFonts w:ascii="Sylfaen" w:hAnsi="Sylfaen" w:cs="Sylfaen"/>
          <w:sz w:val="24"/>
          <w:szCs w:val="24"/>
        </w:rPr>
        <w:t>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ნაკისრ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აღმოჩნდება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დეპონირებული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3-</w:t>
      </w:r>
      <w:r>
        <w:rPr>
          <w:rFonts w:ascii="Sylfaen" w:hAnsi="Sylfaen" w:cs="Sylfaen"/>
          <w:sz w:val="24"/>
          <w:szCs w:val="24"/>
        </w:rPr>
        <w:t>თვიანი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დეპონირებული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–10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უგვიანეს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</w:t>
      </w:r>
      <w:r>
        <w:rPr>
          <w:rFonts w:ascii="Sylfaen" w:hAnsi="Sylfaen" w:cs="Sylfaen"/>
          <w:sz w:val="24"/>
          <w:szCs w:val="24"/>
        </w:rPr>
        <w:t>ირებულია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მოგვიანებით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ისპობა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გამოსასწორებლად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აძლევს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აღმოჩენიდან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დღიან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აისახება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გამოსასწორებლად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გამოსწორდა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გამოსწორება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</w:t>
      </w:r>
      <w:r>
        <w:rPr>
          <w:rFonts w:ascii="Sylfaen" w:hAnsi="Sylfaen" w:cs="Sylfaen"/>
          <w:sz w:val="24"/>
          <w:szCs w:val="24"/>
        </w:rPr>
        <w:t>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-3–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ქმედუუნა</w:t>
      </w:r>
      <w:r>
        <w:rPr>
          <w:rFonts w:ascii="Sylfaen" w:hAnsi="Sylfaen" w:cs="Sylfaen"/>
          <w:sz w:val="24"/>
          <w:szCs w:val="24"/>
        </w:rPr>
        <w:t>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პუნქტებ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„14.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დააკმაყოფილოს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მიუერთდა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100%-</w:t>
      </w:r>
      <w:r>
        <w:rPr>
          <w:rFonts w:ascii="Sylfaen" w:hAnsi="Sylfaen" w:cs="Sylfaen"/>
          <w:sz w:val="24"/>
          <w:szCs w:val="24"/>
        </w:rPr>
        <w:t>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</w:t>
      </w:r>
      <w:r>
        <w:rPr>
          <w:rFonts w:ascii="Sylfaen" w:hAnsi="Sylfaen" w:cs="Sylfaen"/>
          <w:sz w:val="24"/>
          <w:szCs w:val="24"/>
        </w:rPr>
        <w:t>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ნაკისრ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-16–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(25.12.2009 N2457)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„16.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რეორგანიზაცია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</w:rPr>
        <w:t>გისტრირებულ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. 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17. </w:t>
      </w:r>
      <w:r>
        <w:rPr>
          <w:rFonts w:ascii="Sylfaen" w:hAnsi="Sylfaen" w:cs="Sylfaen"/>
        </w:rPr>
        <w:t>საწარმოების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</w:t>
      </w:r>
      <w:r>
        <w:rPr>
          <w:rFonts w:ascii="Sylfaen" w:hAnsi="Sylfaen" w:cs="Sylfaen"/>
        </w:rPr>
        <w:t>შობილი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გადახდით</w:t>
      </w:r>
      <w:r>
        <w:rPr>
          <w:rFonts w:ascii="Sylfaen" w:hAnsi="Sylfaen" w:cs="Sylfaen"/>
        </w:rPr>
        <w:t>.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18.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რეორგანიზაციისას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რეორგანიზაციაზე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.   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გადახდისუუნარობის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წყდება</w:t>
      </w:r>
      <w:r>
        <w:rPr>
          <w:rFonts w:ascii="Sylfaen" w:hAnsi="Sylfaen" w:cs="Sylfaen"/>
        </w:rPr>
        <w:t>.</w:t>
      </w:r>
    </w:p>
    <w:p w:rsidR="00000000" w:rsidRDefault="004B19FB">
      <w:pPr>
        <w:pStyle w:val="xmso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წილის</w:t>
      </w:r>
      <w:r>
        <w:rPr>
          <w:rFonts w:ascii="Sylfaen" w:hAnsi="Sylfaen" w:cs="Sylfaen"/>
        </w:rPr>
        <w:t xml:space="preserve"> 50%-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  <w:i/>
          <w:iCs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დააარსოს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საქა</w:t>
      </w:r>
      <w:r>
        <w:rPr>
          <w:rFonts w:ascii="Sylfaen" w:hAnsi="Sylfaen" w:cs="Sylfaen"/>
          <w:sz w:val="24"/>
          <w:szCs w:val="24"/>
        </w:rPr>
        <w:t>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წარდგენისთანავე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რეგისტრაციაში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-19–19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47-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</w:t>
      </w:r>
      <w:r>
        <w:rPr>
          <w:rFonts w:ascii="Sylfaen" w:hAnsi="Sylfaen" w:cs="Sylfaen"/>
          <w:sz w:val="24"/>
          <w:szCs w:val="24"/>
        </w:rPr>
        <w:t>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კოოპერატივის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სამეურნეო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გამოვიდეს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ოოპერატივიდან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პრეტენდენტი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კოოპერატივის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კრძალავდეს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უდგენდეს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ამგვარ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გამგეობამ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პაის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გამსხვისებელ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</w:t>
      </w:r>
      <w:r>
        <w:rPr>
          <w:rFonts w:ascii="Sylfaen" w:hAnsi="Sylfaen" w:cs="Sylfaen"/>
          <w:sz w:val="24"/>
          <w:szCs w:val="24"/>
        </w:rPr>
        <w:t>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„11.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დამოწმდეს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):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გაფართოება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გაფართოება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რეზე</w:t>
      </w:r>
      <w:r>
        <w:rPr>
          <w:rFonts w:ascii="Sylfaen" w:hAnsi="Sylfaen" w:cs="Sylfaen"/>
          <w:sz w:val="24"/>
          <w:szCs w:val="24"/>
        </w:rPr>
        <w:t>რვებში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გამსვლელ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გაფართოება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გაფართოება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გაფართოებულია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კოოპერატივის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</w:t>
      </w:r>
      <w:r>
        <w:rPr>
          <w:rFonts w:ascii="Sylfaen" w:hAnsi="Sylfaen" w:cs="Sylfaen"/>
          <w:sz w:val="24"/>
          <w:szCs w:val="24"/>
        </w:rPr>
        <w:t>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9/10-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ითვალისწინებდეს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კოოპერატივის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</w:t>
      </w:r>
      <w:r>
        <w:rPr>
          <w:rFonts w:ascii="Sylfaen" w:hAnsi="Sylfaen" w:cs="Sylfaen"/>
          <w:sz w:val="24"/>
          <w:szCs w:val="24"/>
        </w:rPr>
        <w:t>ტრისა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</w:t>
      </w:r>
      <w:r>
        <w:rPr>
          <w:rFonts w:ascii="Sylfaen" w:hAnsi="Sylfaen" w:cs="Sylfaen"/>
          <w:sz w:val="24"/>
          <w:szCs w:val="24"/>
        </w:rPr>
        <w:t>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ადასცენ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–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ქრონოლოგიური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თანამიმდევრობით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შეზღუდული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ეკისრებათ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ზიანისათვის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გადაიხდევინება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ამხანაგობის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წევრებმა</w:t>
      </w:r>
      <w:r>
        <w:rPr>
          <w:rFonts w:ascii="Sylfaen" w:hAnsi="Sylfaen" w:cs="Sylfaen"/>
          <w:sz w:val="24"/>
          <w:szCs w:val="24"/>
        </w:rPr>
        <w:t xml:space="preserve">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ამხანაგობის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ამხანაგობის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ამხანაგობა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</w:t>
      </w:r>
      <w:r>
        <w:rPr>
          <w:rFonts w:ascii="Sylfaen" w:hAnsi="Sylfaen" w:cs="Sylfaen"/>
          <w:sz w:val="24"/>
          <w:szCs w:val="24"/>
        </w:rPr>
        <w:t>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სამეწარმეო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ამხანაგობის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10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B19FB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B19FB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 </w:t>
      </w:r>
    </w:p>
    <w:p w:rsidR="00000000" w:rsidRDefault="004B19FB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-5–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1974 – 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B1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19FB"/>
    <w:rsid w:val="004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xmsoplaintext">
    <w:name w:val="x_msoplaintex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basedOn w:val="DefaultParagraphFont"/>
    <w:uiPriority w:val="99"/>
    <w:rPr>
      <w:sz w:val="20"/>
      <w:szCs w:val="20"/>
    </w:rPr>
  </w:style>
  <w:style w:type="character" w:customStyle="1" w:styleId="CharChar">
    <w:name w:val="Char Char"/>
    <w:basedOn w:val="DefaultParagraphFont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4032</Words>
  <Characters>22989</Characters>
  <Application>Microsoft Office Word</Application>
  <DocSecurity>0</DocSecurity>
  <Lines>191</Lines>
  <Paragraphs>53</Paragraphs>
  <ScaleCrop>false</ScaleCrop>
  <Company/>
  <LinksUpToDate>false</LinksUpToDate>
  <CharactersWithSpaces>26968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