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hanging="23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hanging="23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hanging="23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საბაჟო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hanging="23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</w:p>
    <w:p w:rsidR="00000000" w:rsidRDefault="002E3265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N39, 09.08.2006,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280)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>: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>.“.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 xml:space="preserve">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„24.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რეგიონული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</w:t>
      </w:r>
      <w:r>
        <w:rPr>
          <w:rFonts w:ascii="Sylfaen" w:hAnsi="Sylfaen" w:cs="Sylfaen"/>
        </w:rPr>
        <w:t>.“;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24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8.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წარმოიშობა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ირიბი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შეასრულებდა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დეკლარანტი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დაეკისრებოდა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დეკლარანტს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</w:t>
      </w:r>
      <w:r>
        <w:rPr>
          <w:rFonts w:ascii="Sylfaen" w:hAnsi="Sylfaen" w:cs="Sylfaen"/>
          <w:sz w:val="24"/>
          <w:szCs w:val="24"/>
        </w:rPr>
        <w:t>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ორგა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</w:t>
      </w:r>
      <w:r>
        <w:rPr>
          <w:rFonts w:ascii="Sylfaen" w:hAnsi="Sylfaen" w:cs="Sylfaen"/>
          <w:sz w:val="24"/>
          <w:szCs w:val="24"/>
        </w:rPr>
        <w:t>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მეურვ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მშობელი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), –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შემოწმებას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E3265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  </w:t>
      </w:r>
    </w:p>
    <w:p w:rsidR="00000000" w:rsidRDefault="002E3265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შეთანხმებები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>.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ცენტრალიზებულ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რეგიონული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).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>.“.</w:t>
      </w:r>
    </w:p>
    <w:p w:rsidR="00000000" w:rsidRDefault="002E3265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</w:t>
      </w:r>
      <w:r>
        <w:rPr>
          <w:rFonts w:ascii="Sylfaen" w:hAnsi="Sylfaen" w:cs="Sylfaen"/>
          <w:sz w:val="24"/>
          <w:szCs w:val="24"/>
        </w:rPr>
        <w:t>წყობების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დამუშავების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 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„5.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ნებართვებისა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7. 64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</w:t>
      </w:r>
      <w:r>
        <w:rPr>
          <w:rFonts w:ascii="Sylfaen" w:hAnsi="Sylfaen" w:cs="Sylfaen"/>
          <w:sz w:val="24"/>
          <w:szCs w:val="24"/>
        </w:rPr>
        <w:t>ხური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89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E3265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დოკუმენტბრუნვა</w:t>
      </w:r>
    </w:p>
    <w:p w:rsidR="00000000" w:rsidRDefault="002E3265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საარქივო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>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დოკუმენტბრუნვის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ამონაბეჭდს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E3265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</w:t>
      </w:r>
      <w:r>
        <w:rPr>
          <w:rFonts w:ascii="Sylfaen" w:hAnsi="Sylfaen" w:cs="Sylfaen"/>
          <w:sz w:val="24"/>
          <w:szCs w:val="24"/>
        </w:rPr>
        <w:t>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მგზავრის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საწყობში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მგზავრის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გააგრძელოს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დღემდე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104-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 107-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107.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საწყობში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სახისაა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მომთავსებელს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13. 149-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იძლევა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დამუშავების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გაშვების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მოქცევად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გადაიხდევინება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14. 150-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„5.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თავისუფ</w:t>
      </w:r>
      <w:r>
        <w:rPr>
          <w:rFonts w:ascii="Sylfaen" w:hAnsi="Sylfaen" w:cs="Sylfaen"/>
          <w:sz w:val="24"/>
          <w:szCs w:val="24"/>
        </w:rPr>
        <w:t>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შეიცვალოს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36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36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209-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36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</w:t>
      </w:r>
      <w:r>
        <w:rPr>
          <w:rFonts w:ascii="Sylfaen" w:hAnsi="Sylfaen" w:cs="Sylfaen"/>
          <w:sz w:val="24"/>
          <w:szCs w:val="24"/>
        </w:rPr>
        <w:t>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16. 240-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(26.03</w:t>
      </w:r>
      <w:r>
        <w:rPr>
          <w:rFonts w:ascii="Sylfaen" w:hAnsi="Sylfaen" w:cs="Sylfaen"/>
          <w:i/>
          <w:iCs/>
          <w:sz w:val="20"/>
          <w:szCs w:val="20"/>
        </w:rPr>
        <w:t>.2010 N 2868)|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240.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დეკლარანტის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</w:t>
      </w:r>
      <w:r>
        <w:rPr>
          <w:rFonts w:ascii="Sylfaen" w:hAnsi="Sylfaen" w:cs="Sylfaen"/>
          <w:sz w:val="24"/>
          <w:szCs w:val="24"/>
        </w:rPr>
        <w:t>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100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>, –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2000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დაყრდნობით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ეჭვის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კორექტირების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250-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(26.03.2010 N 2868)|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250.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გაზრდა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</w:t>
      </w:r>
      <w:r>
        <w:rPr>
          <w:rFonts w:ascii="Sylfaen" w:hAnsi="Sylfaen" w:cs="Sylfaen"/>
          <w:sz w:val="24"/>
          <w:szCs w:val="24"/>
        </w:rPr>
        <w:t>მენტაციაში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დეკლარანტის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გამოუწვევია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, –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2E3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>.“.“.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აპრილიდან</w:t>
      </w:r>
      <w:r>
        <w:rPr>
          <w:rFonts w:ascii="Sylfaen" w:hAnsi="Sylfaen" w:cs="Sylfaen"/>
        </w:rPr>
        <w:t>.</w:t>
      </w:r>
    </w:p>
    <w:p w:rsidR="00000000" w:rsidRDefault="002E3265">
      <w:pPr>
        <w:pStyle w:val="Normal0"/>
        <w:widowControl/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23" w:firstLine="697"/>
        <w:jc w:val="both"/>
        <w:rPr>
          <w:rFonts w:ascii="Sylfaen" w:hAnsi="Sylfaen" w:cs="Sylfaen"/>
        </w:rPr>
      </w:pPr>
    </w:p>
    <w:p w:rsidR="00000000" w:rsidRDefault="002E3265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2E3265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E3265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2E3265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23 </w:t>
      </w:r>
      <w:r>
        <w:rPr>
          <w:rFonts w:ascii="Sylfaen" w:hAnsi="Sylfaen" w:cs="Sylfaen"/>
        </w:rPr>
        <w:t>თებერვალი</w:t>
      </w:r>
      <w:r>
        <w:rPr>
          <w:rFonts w:ascii="Sylfaen" w:hAnsi="Sylfaen" w:cs="Sylfaen"/>
        </w:rPr>
        <w:t>.</w:t>
      </w:r>
    </w:p>
    <w:p w:rsidR="00000000" w:rsidRDefault="002E3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 2668 – 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2E3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3265"/>
    <w:rsid w:val="002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spacing w:after="0" w:line="240" w:lineRule="auto"/>
      <w:ind w:firstLine="720"/>
      <w:jc w:val="both"/>
    </w:pPr>
    <w:rPr>
      <w:rFonts w:ascii="LitNusx" w:hAnsi="LitNusx" w:cs="LitNusx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