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03EE">
      <w:pPr>
        <w:pStyle w:val="Normal0"/>
        <w:tabs>
          <w:tab w:val="left" w:pos="23"/>
          <w:tab w:val="left" w:pos="69"/>
          <w:tab w:val="left" w:pos="115"/>
          <w:tab w:val="left" w:pos="161"/>
          <w:tab w:val="left" w:pos="207"/>
          <w:tab w:val="left" w:pos="253"/>
          <w:tab w:val="left" w:pos="299"/>
          <w:tab w:val="left" w:pos="345"/>
          <w:tab w:val="left" w:pos="391"/>
          <w:tab w:val="left" w:pos="437"/>
          <w:tab w:val="left" w:pos="483"/>
          <w:tab w:val="left" w:pos="529"/>
          <w:tab w:val="left" w:pos="575"/>
          <w:tab w:val="left" w:pos="621"/>
        </w:tabs>
        <w:spacing w:line="20" w:lineRule="atLeast"/>
        <w:ind w:left="23" w:hanging="23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საგადასახადო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N41, 30.12.2004,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E03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1. 85-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(23.03.2010 N 2796)</w:t>
      </w:r>
    </w:p>
    <w:p w:rsidR="00000000" w:rsidRDefault="009E03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E03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9E03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E03E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  <w:t>"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87-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გაკოტრების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წარმოებისას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</w:t>
      </w:r>
      <w:r>
        <w:rPr>
          <w:rFonts w:ascii="Sylfaen" w:hAnsi="Sylfaen" w:cs="Sylfaen"/>
          <w:sz w:val="24"/>
          <w:szCs w:val="24"/>
        </w:rPr>
        <w:t>აში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88.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</w:t>
      </w:r>
      <w:r>
        <w:rPr>
          <w:rFonts w:ascii="Sylfaen" w:hAnsi="Sylfaen" w:cs="Sylfaen"/>
          <w:sz w:val="24"/>
          <w:szCs w:val="24"/>
        </w:rPr>
        <w:t>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</w:t>
      </w:r>
      <w:r>
        <w:rPr>
          <w:rFonts w:ascii="Sylfaen" w:hAnsi="Sylfaen" w:cs="Sylfaen"/>
          <w:sz w:val="24"/>
          <w:szCs w:val="24"/>
        </w:rPr>
        <w:t>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მალფუჭებადი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მალფუჭებად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ბრძანების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lastRenderedPageBreak/>
        <w:t>გარეშე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მალფუჭებად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დარჩენილია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მალფუჭებადი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ჩატარებიდან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</w:t>
      </w:r>
      <w:r>
        <w:rPr>
          <w:rFonts w:ascii="Sylfaen" w:hAnsi="Sylfaen" w:cs="Sylfaen"/>
          <w:sz w:val="24"/>
          <w:szCs w:val="24"/>
        </w:rPr>
        <w:t>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მალფუჭებად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სასარგებლოდ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გადაუხდის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მალფუჭებადი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საქონლი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უმცირესი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საწყისი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რეალიზაციისა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დაიფარება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;    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უბრუნდება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</w:t>
      </w:r>
      <w:r>
        <w:rPr>
          <w:rFonts w:ascii="Sylfaen" w:hAnsi="Sylfaen" w:cs="Sylfaen"/>
          <w:sz w:val="24"/>
          <w:szCs w:val="24"/>
        </w:rPr>
        <w:t>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„57. </w:t>
      </w:r>
      <w:r>
        <w:rPr>
          <w:rFonts w:ascii="Sylfaen" w:hAnsi="Sylfaen" w:cs="Sylfaen"/>
          <w:sz w:val="24"/>
          <w:szCs w:val="24"/>
        </w:rPr>
        <w:t>გადასახადის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გადამხდელის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მოვალის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იპოთეკით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დატვირთული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ყადაღადადებული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აპრილამდე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ჩატარდეს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აპრილამდე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   </w:t>
      </w:r>
    </w:p>
    <w:p w:rsidR="00000000" w:rsidRDefault="009E03E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ab/>
      </w:r>
    </w:p>
    <w:p w:rsidR="00000000" w:rsidRDefault="009E03E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აპრილიდან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9E03EE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9E03EE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9E03EE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9E03EE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9E03EE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9E03EE">
      <w:pPr>
        <w:tabs>
          <w:tab w:val="left" w:pos="538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N 2460 – </w:t>
      </w:r>
      <w:r>
        <w:rPr>
          <w:rFonts w:ascii="Sylfaen" w:hAnsi="Sylfaen" w:cs="Sylfaen"/>
          <w:sz w:val="24"/>
          <w:szCs w:val="24"/>
        </w:rPr>
        <w:t>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E03EE">
      <w:pPr>
        <w:pStyle w:val="Normal0"/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p w:rsidR="00000000" w:rsidRDefault="009E0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03EE"/>
    <w:rsid w:val="009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Base>C:\4\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