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BF87" w14:textId="77777777" w:rsidR="00000000" w:rsidRDefault="00337412">
      <w:pPr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14:paraId="62664F6B" w14:textId="77777777" w:rsidR="00000000" w:rsidRDefault="00337412">
      <w:pPr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14:paraId="0A01B09D" w14:textId="77777777" w:rsidR="00000000" w:rsidRDefault="00337412">
      <w:pPr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სადაზვერვო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საქმიანობის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14:paraId="7DE12A5C" w14:textId="77777777" w:rsidR="00000000" w:rsidRDefault="00337412">
      <w:pPr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4222F585" w14:textId="77777777" w:rsidR="00000000" w:rsidRDefault="00337412">
      <w:pPr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</w:t>
      </w:r>
    </w:p>
    <w:p w14:paraId="5231D0F2" w14:textId="77777777" w:rsidR="00000000" w:rsidRDefault="00337412">
      <w:pPr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დებულებანი</w:t>
      </w:r>
    </w:p>
    <w:p w14:paraId="5C29C7C0" w14:textId="77777777" w:rsidR="00000000" w:rsidRDefault="00337412">
      <w:pPr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49E109E9" w14:textId="77777777" w:rsidR="00000000" w:rsidRDefault="00337412">
      <w:pPr>
        <w:tabs>
          <w:tab w:val="left" w:pos="1985"/>
        </w:tabs>
        <w:spacing w:line="20" w:lineRule="atLeast"/>
        <w:ind w:firstLine="851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</w:t>
      </w:r>
    </w:p>
    <w:p w14:paraId="5945FE78" w14:textId="77777777" w:rsidR="00000000" w:rsidRDefault="00337412">
      <w:pPr>
        <w:spacing w:line="20" w:lineRule="atLeast"/>
        <w:ind w:firstLine="851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დანაყოფებს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D401EBA" w14:textId="77777777" w:rsidR="00000000" w:rsidRDefault="00337412">
      <w:pPr>
        <w:spacing w:line="20" w:lineRule="atLeast"/>
        <w:ind w:firstLine="851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4FE7BD4E" w14:textId="77777777" w:rsidR="00000000" w:rsidRDefault="00337412">
      <w:pPr>
        <w:spacing w:line="20" w:lineRule="atLeast"/>
        <w:ind w:firstLine="851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</w:p>
    <w:p w14:paraId="08563D5E" w14:textId="77777777" w:rsidR="00000000" w:rsidRDefault="00337412">
      <w:pPr>
        <w:spacing w:line="20" w:lineRule="atLeast"/>
        <w:ind w:firstLine="851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ანალიზი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გატარებისათვის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F7D056E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გასაიდუმლოებულია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საიდუმლოებაა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A463556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დასაიდუმლოებისა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განსაიდუმლოების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278FF21" w14:textId="77777777" w:rsidR="00000000" w:rsidRDefault="00337412">
      <w:pPr>
        <w:spacing w:line="20" w:lineRule="atLeast"/>
        <w:ind w:firstLine="851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56E07B7D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განმარტება</w:t>
      </w:r>
    </w:p>
    <w:p w14:paraId="7CEE56D4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5E85FCD9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პოტენციური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მოვლენებისა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541F828" w14:textId="77777777" w:rsidR="00000000" w:rsidRDefault="00337412">
      <w:pPr>
        <w:spacing w:line="20" w:lineRule="atLeast"/>
        <w:ind w:firstLine="709"/>
        <w:jc w:val="both"/>
        <w:rPr>
          <w:rFonts w:ascii="Sylfaen" w:hAnsi="Sylfaen" w:cs="Sylfaen"/>
          <w:b/>
          <w:bCs/>
          <w:i/>
          <w:iCs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კონცეფციის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პრიორიტეტები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i/>
          <w:iCs/>
          <w:lang w:eastAsia="x-none"/>
        </w:rPr>
        <w:t>(20.09.2</w:t>
      </w:r>
      <w:r>
        <w:rPr>
          <w:rFonts w:ascii="Sylfaen" w:hAnsi="Sylfaen" w:cs="Sylfaen"/>
          <w:i/>
          <w:iCs/>
          <w:lang w:eastAsia="x-none"/>
        </w:rPr>
        <w:t xml:space="preserve">013. N1236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14:paraId="5EDA02E0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კონტრდაზვერვითი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ხანგრძლივად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მივლინებაში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CAD3E3D" w14:textId="77777777" w:rsidR="00000000" w:rsidRDefault="00337412">
      <w:pPr>
        <w:spacing w:line="20" w:lineRule="atLeast"/>
        <w:ind w:firstLine="851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4D399575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 xml:space="preserve">(20.09.2013. N1236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საქა</w:t>
      </w:r>
      <w:r>
        <w:rPr>
          <w:rFonts w:ascii="Sylfaen" w:eastAsia="Times New Roman" w:hAnsi="Sylfaen" w:cs="Sylfaen"/>
          <w:i/>
          <w:iCs/>
          <w:lang w:eastAsia="x-none"/>
        </w:rPr>
        <w:t>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14:paraId="3527878A" w14:textId="77777777" w:rsidR="00000000" w:rsidRDefault="00337412">
      <w:pPr>
        <w:spacing w:line="20" w:lineRule="atLeast"/>
        <w:ind w:firstLine="851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8879166" w14:textId="77777777" w:rsidR="00000000" w:rsidRDefault="00337412">
      <w:pPr>
        <w:spacing w:line="20" w:lineRule="atLeast"/>
        <w:ind w:firstLine="851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13E1CED9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58C917AC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მიმართულებები</w:t>
      </w:r>
    </w:p>
    <w:p w14:paraId="359E0E35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B93D03D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გაფართოება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0A8647D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723EF52" w14:textId="77777777" w:rsidR="00000000" w:rsidRDefault="00337412">
      <w:pPr>
        <w:spacing w:line="20" w:lineRule="atLeast"/>
        <w:ind w:firstLine="851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58A0E372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მეთოდები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2F427145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</w:t>
      </w:r>
    </w:p>
    <w:p w14:paraId="23002A47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5862A0D6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5AC110AD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განუხრელი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პატივისცემა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3BA99C02" w14:textId="77777777" w:rsidR="00000000" w:rsidRDefault="00337412">
      <w:pPr>
        <w:pStyle w:val="Normal0"/>
        <w:spacing w:line="20" w:lineRule="atLeast"/>
        <w:ind w:firstLine="709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ობიექტურობა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მიუკერძოებლობა</w:t>
      </w:r>
      <w:r>
        <w:rPr>
          <w:rFonts w:ascii="Sylfaen" w:eastAsia="Times New Roman" w:hAnsi="Sylfaen" w:cs="Sylfaen"/>
          <w:lang w:eastAsia="x-none"/>
        </w:rPr>
        <w:t>;</w:t>
      </w:r>
    </w:p>
    <w:p w14:paraId="74D2C66D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ნეიტრალიტეტი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5132B4C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ანგარიშვალდებულება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B70EB6F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604DF96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მიზანმიმართულობა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402444C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76030A66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უწყვეტობა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DB2CF62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გეგმურობა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7FCAC4D4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რულობა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0EDFE51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მეთოდები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ხასიათი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542224B" w14:textId="77777777" w:rsidR="00000000" w:rsidRDefault="00337412">
      <w:pPr>
        <w:spacing w:line="20" w:lineRule="atLeast"/>
        <w:ind w:firstLine="851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352A9248" w14:textId="77777777" w:rsidR="00000000" w:rsidRDefault="00337412">
      <w:pPr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II</w:t>
      </w:r>
    </w:p>
    <w:p w14:paraId="3D3A9160" w14:textId="77777777" w:rsidR="00000000" w:rsidRDefault="00337412">
      <w:pPr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დაზვერვის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</w:p>
    <w:p w14:paraId="0AE7D2B7" w14:textId="77777777" w:rsidR="00000000" w:rsidRDefault="00337412">
      <w:pPr>
        <w:spacing w:line="20" w:lineRule="atLeast"/>
        <w:ind w:firstLine="851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7A8B6ADA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დაზვერვის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ტემა</w:t>
      </w:r>
    </w:p>
    <w:p w14:paraId="518F2C20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დაზვერვის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C9C9612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დაზვერვის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დაზვერვის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ქვედანაყოფები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ქვედანაყოფები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E363790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დაზვერვის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20FE4F14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დაზვერვის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72C7BD8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ქვედანაყოფები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სტრატეგიულ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097F58B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ქვედანაყოფები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კონტინენტური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შელფის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0B3BACD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A121420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გარანტიები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ირიცხებიან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29AFEAB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ურთიერთშეთანხმების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დაზვერვის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ახურეები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მივლენილ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დაზვერვის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F28C74D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ჩაერიოს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A72C55D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გაუმჟღავნებლობის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ისჯება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00A6C50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მეცნიერული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განსაიდუმლოების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AE9DF47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ენციალურად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თანამშრომლობდნენ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მეთოდებისა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ინახება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განსაიდუმლოებას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გამონაკლისია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92772B2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კონფიდენციალურად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თანამშრომლობდნენ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2967FE37" w14:textId="77777777" w:rsidR="00000000" w:rsidRDefault="00337412">
      <w:pPr>
        <w:spacing w:line="20" w:lineRule="atLeast"/>
        <w:ind w:firstLine="851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15905EDF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დაზვერვის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ამოცანები</w:t>
      </w:r>
    </w:p>
    <w:p w14:paraId="5E945126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დაზვერვის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ამოცანებია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7AFA0B39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გამოწვევებისა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58D838A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ზრახვებისა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შეგროვებით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სისტემატიზაციით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დამუშავებითა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ანალიზით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hAnsi="Sylfaen" w:cs="Sylfaen"/>
          <w:sz w:val="24"/>
          <w:szCs w:val="24"/>
          <w:u w:val="single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00FC2C77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54270D9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გლობალური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პრობლემებთან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მოვლენების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პროგნოზირება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კრიზისული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სიტუაც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0F027B3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კონტრდაზვერვითი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82FCE6D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რეგიონალურ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გლობალურ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D0F019E" w14:textId="77777777" w:rsidR="00000000" w:rsidRDefault="00337412">
      <w:pPr>
        <w:spacing w:line="20" w:lineRule="atLeast"/>
        <w:ind w:firstLine="851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03BDD1F5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დაზვერვის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</w:t>
      </w:r>
    </w:p>
    <w:p w14:paraId="242C6964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დაზვერვის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დაზვერვის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6D3DC72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2. 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დაზვერვის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8BCE752" w14:textId="77777777" w:rsidR="00000000" w:rsidRDefault="00337412">
      <w:pPr>
        <w:pStyle w:val="abzacixml"/>
        <w:spacing w:before="0" w:after="0"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სადაზვერვო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სადაზვერვო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</w:t>
      </w:r>
      <w:r>
        <w:rPr>
          <w:rFonts w:ascii="Sylfaen" w:eastAsia="Times New Roman" w:hAnsi="Sylfaen" w:cs="Sylfaen"/>
          <w:lang w:eastAsia="x-none"/>
        </w:rPr>
        <w:t>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დაზვერვის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(20.09.2013. N1236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2202E977" w14:textId="77777777" w:rsidR="00000000" w:rsidRDefault="00337412">
      <w:pPr>
        <w:spacing w:line="20" w:lineRule="atLeast"/>
        <w:jc w:val="both"/>
        <w:rPr>
          <w:rFonts w:ascii="Sylfaen" w:hAnsi="Sylfaen" w:cs="Sylfaen"/>
          <w:b/>
          <w:bCs/>
          <w:i/>
          <w:iCs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            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დაზვერვისა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კონტრდაზვერვის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საუწყებათაშორისო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მოლაპარაკებებისა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მიზანშეწონილობის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 xml:space="preserve">(20.09.2013. N1236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საპრ</w:t>
      </w:r>
      <w:r>
        <w:rPr>
          <w:rFonts w:ascii="Sylfaen" w:eastAsia="Times New Roman" w:hAnsi="Sylfaen" w:cs="Sylfaen"/>
          <w:i/>
          <w:iCs/>
          <w:lang w:eastAsia="x-none"/>
        </w:rPr>
        <w:t>ეზიდენტო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14:paraId="64C3484E" w14:textId="77777777" w:rsidR="00000000" w:rsidRDefault="00337412">
      <w:pPr>
        <w:spacing w:line="20" w:lineRule="atLeast"/>
        <w:ind w:firstLine="851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14:paraId="32B9BC84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მოვალეობანი</w:t>
      </w:r>
    </w:p>
    <w:p w14:paraId="1A81E82D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04B4C01F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კონფიდენციალურად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მშრომლობენ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253B1A76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მოსაპოვებლად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იყენებენ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რადიოელექტრონულ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772F95B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ქვედანაყოფებ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ნაგებობებისა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საუწყებო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კუთვნილების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კონსპირაციის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დაშიფვრას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0D505C1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აუცილებლობიდან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74A93F4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კონსპირაციის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აუცილებლობიდან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ქმნიან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31AE57D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კანონსაწინააღმდეგო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ხელყოფისაგან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იცავენ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თავიანთ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წყაროებს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ნაგებობებსა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09E2AAD4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7C04641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სპეცსამსახურებთან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6541125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კონტრდაზვერვითი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მეთოდები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22270A3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5E47FFE5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დაზვერვის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დახმარება</w:t>
      </w:r>
    </w:p>
    <w:p w14:paraId="0B30D680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სამთავრობო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ყველანაირად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დაეხმარონ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BA1ABF6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იზაციები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44EF6CD" w14:textId="77777777" w:rsidR="00000000" w:rsidRDefault="00337412">
      <w:pPr>
        <w:spacing w:line="20" w:lineRule="atLeast"/>
        <w:ind w:firstLine="851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545EE8D1" w14:textId="77777777" w:rsidR="00000000" w:rsidRDefault="00337412">
      <w:pPr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III</w:t>
      </w:r>
    </w:p>
    <w:p w14:paraId="58168BAA" w14:textId="77777777" w:rsidR="00000000" w:rsidRDefault="00337412">
      <w:pPr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14:paraId="73F8EE9E" w14:textId="77777777" w:rsidR="00000000" w:rsidRDefault="00337412">
      <w:pPr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კონფიდენციალურად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დაწესებულებასთან</w:t>
      </w:r>
    </w:p>
    <w:p w14:paraId="2FE718E3" w14:textId="77777777" w:rsidR="00000000" w:rsidRDefault="00337412">
      <w:pPr>
        <w:spacing w:line="20" w:lineRule="atLeast"/>
        <w:ind w:firstLine="851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4FB28F1C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კონფიდენციალურად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10290C6D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დაწესებულებასთან</w:t>
      </w:r>
    </w:p>
    <w:p w14:paraId="11CE709E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1. 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მისაღწევად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ითანამშრომლოს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ნებაყოფლობ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კონფიდენციალურ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რომელთანაც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კონფიდენციალურად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7C307A9" w14:textId="77777777" w:rsidR="00000000" w:rsidRDefault="00337412">
      <w:pPr>
        <w:spacing w:line="20" w:lineRule="atLeast"/>
        <w:ind w:firstLine="851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კონფიდენციალურად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009A2F4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კონფიდენციალურად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გამჟღავნებისათვის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CBD4C33" w14:textId="77777777" w:rsidR="00000000" w:rsidRDefault="00337412">
      <w:pPr>
        <w:spacing w:line="20" w:lineRule="atLeast"/>
        <w:ind w:firstLine="851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5210709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7F17BB2F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კონფიდენციალურად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4C74EEE3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დაწესებულებასთან</w:t>
      </w:r>
    </w:p>
    <w:p w14:paraId="3CFD5B33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კონფიდენციალურად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5EA07A1C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კონფიდენციალური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ითანამშრომლოს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D79620E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განმარტებები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ამოცანების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4B3A3C7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კონსპირაციის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დაშიფრული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3A9EEA53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7D90549B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მიადგა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50AB213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კონფიდენციალურად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265E4ECE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გაამჟღავნოს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0B020EC1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ყალბი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ცილისმწა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მებლური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8FCB463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განდობილი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1A13599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6091FD2E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5BAABC4E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კონფიდენციალურად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4006DA12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დაწესებულებასთან</w:t>
      </w:r>
    </w:p>
    <w:p w14:paraId="61E8C74B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კონფიდენციალურად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A327185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კონფიდენციალურად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მიენიჭოს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C39DD06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მიენიჭა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ჩაეთვლება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სტაჟში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2E103A0" w14:textId="77777777" w:rsidR="00000000" w:rsidRDefault="00337412">
      <w:pPr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5D54DFCC" w14:textId="77777777" w:rsidR="00000000" w:rsidRDefault="00337412">
      <w:pPr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IV</w:t>
      </w:r>
    </w:p>
    <w:p w14:paraId="1C1A8AAD" w14:textId="77777777" w:rsidR="00000000" w:rsidRDefault="00337412">
      <w:pPr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დაზვერვის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</w:t>
      </w:r>
    </w:p>
    <w:p w14:paraId="4146C219" w14:textId="77777777" w:rsidR="00000000" w:rsidRDefault="00337412">
      <w:pPr>
        <w:spacing w:line="20" w:lineRule="atLeast"/>
        <w:ind w:firstLine="851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52911C36" w14:textId="77777777" w:rsidR="00000000" w:rsidRDefault="00337412">
      <w:pPr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 xml:space="preserve">(20.09.2013. N1236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არჩე</w:t>
      </w:r>
      <w:r>
        <w:rPr>
          <w:rFonts w:ascii="Sylfaen" w:eastAsia="Times New Roman" w:hAnsi="Sylfaen" w:cs="Sylfaen"/>
          <w:i/>
          <w:iCs/>
          <w:lang w:eastAsia="x-none"/>
        </w:rPr>
        <w:t>ვნების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14:paraId="23F4295F" w14:textId="77777777" w:rsidR="00000000" w:rsidRDefault="00337412">
      <w:pPr>
        <w:spacing w:line="20" w:lineRule="atLeast"/>
        <w:ind w:firstLine="851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დაზვერვის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8E3EE9C" w14:textId="77777777" w:rsidR="00000000" w:rsidRDefault="00337412">
      <w:pPr>
        <w:spacing w:line="20" w:lineRule="atLeast"/>
        <w:ind w:firstLine="851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0B45D35B" w14:textId="77777777" w:rsidR="00000000" w:rsidRDefault="0033741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16.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საპარლამენტო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lang w:val="en-US"/>
        </w:rPr>
        <w:t xml:space="preserve">(6.12.2018 N3893 </w:t>
      </w:r>
      <w:r>
        <w:rPr>
          <w:rFonts w:ascii="Sylfaen" w:eastAsia="Times New Roman" w:hAnsi="Sylfaen" w:cs="Sylfaen"/>
          <w:i/>
          <w:iCs/>
          <w:lang w:val="en-US"/>
        </w:rPr>
        <w:t>ამოქმედდ</w:t>
      </w:r>
      <w:r>
        <w:rPr>
          <w:rFonts w:ascii="Sylfaen" w:eastAsia="Times New Roman" w:hAnsi="Sylfaen" w:cs="Sylfaen"/>
          <w:i/>
          <w:iCs/>
          <w:lang w:val="en-US"/>
        </w:rPr>
        <w:t>ეს</w:t>
      </w:r>
      <w:r>
        <w:rPr>
          <w:rFonts w:ascii="Sylfaen" w:eastAsia="Times New Roman" w:hAnsi="Sylfaen" w:cs="Sylfaen"/>
          <w:i/>
          <w:iCs/>
          <w:lang w:val="en-US"/>
        </w:rPr>
        <w:t xml:space="preserve">   </w:t>
      </w:r>
      <w:r>
        <w:rPr>
          <w:rFonts w:ascii="Sylfaen" w:eastAsia="Times New Roman" w:hAnsi="Sylfaen" w:cs="Sylfaen"/>
          <w:i/>
          <w:iCs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lang w:val="en-US"/>
        </w:rPr>
        <w:t xml:space="preserve">   </w:t>
      </w:r>
      <w:r>
        <w:rPr>
          <w:rFonts w:ascii="Sylfaen" w:eastAsia="Times New Roman" w:hAnsi="Sylfaen" w:cs="Sylfaen"/>
          <w:i/>
          <w:iCs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მიერ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lang w:val="en-US"/>
        </w:rPr>
        <w:t>)</w:t>
      </w:r>
    </w:p>
    <w:p w14:paraId="10CA0721" w14:textId="77777777" w:rsidR="00000000" w:rsidRDefault="0033741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აზვერვის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საპარლამენტო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18031E4" w14:textId="77777777" w:rsidR="00000000" w:rsidRDefault="00337412">
      <w:pPr>
        <w:spacing w:line="20" w:lineRule="atLeast"/>
        <w:ind w:firstLine="851"/>
        <w:jc w:val="center"/>
        <w:rPr>
          <w:rFonts w:ascii="Sylfaen" w:hAnsi="Sylfaen" w:cs="Sylfaen"/>
          <w:sz w:val="24"/>
          <w:szCs w:val="24"/>
          <w:lang w:eastAsia="x-none"/>
        </w:rPr>
      </w:pPr>
    </w:p>
    <w:p w14:paraId="1E06B473" w14:textId="77777777" w:rsidR="00000000" w:rsidRDefault="00337412">
      <w:pPr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V</w:t>
      </w:r>
    </w:p>
    <w:p w14:paraId="0245513C" w14:textId="77777777" w:rsidR="00000000" w:rsidRDefault="00337412">
      <w:pPr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დებულებანი</w:t>
      </w:r>
    </w:p>
    <w:p w14:paraId="384A19C7" w14:textId="77777777" w:rsidR="00000000" w:rsidRDefault="00337412">
      <w:pPr>
        <w:spacing w:line="20" w:lineRule="atLeast"/>
        <w:ind w:firstLine="851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0DCBBCDE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5C194566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ამოქმედება</w:t>
      </w:r>
    </w:p>
    <w:p w14:paraId="50882F19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1999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მაცნე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N12(19), 1999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 38).</w:t>
      </w:r>
    </w:p>
    <w:p w14:paraId="1383B225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E55E3AC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000C1A1A" w14:textId="77777777" w:rsidR="00000000" w:rsidRDefault="00337412">
      <w:pPr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მიხე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ილ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სააკაშვილი</w:t>
      </w:r>
    </w:p>
    <w:p w14:paraId="6B51F809" w14:textId="77777777" w:rsidR="00000000" w:rsidRDefault="00337412">
      <w:pPr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42A571FF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14:paraId="60132D82" w14:textId="77777777" w:rsidR="00000000" w:rsidRDefault="00337412">
      <w:pPr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2010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აპრილი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AC5C751" w14:textId="77777777" w:rsidR="00000000" w:rsidRDefault="00337412">
      <w:pPr>
        <w:tabs>
          <w:tab w:val="left" w:pos="91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N 2983 -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რს</w:t>
      </w:r>
    </w:p>
    <w:p w14:paraId="707C4843" w14:textId="77777777" w:rsidR="00000000" w:rsidRDefault="00337412">
      <w:pPr>
        <w:tabs>
          <w:tab w:val="left" w:pos="91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Dumb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37412"/>
    <w:rsid w:val="0033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F7E6B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abzacixml">
    <w:name w:val="abzacixml"/>
    <w:basedOn w:val="Normal"/>
    <w:uiPriority w:val="99"/>
    <w:pPr>
      <w:widowControl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muxlixml">
    <w:name w:val="muxlixml"/>
    <w:basedOn w:val="Normal"/>
    <w:uiPriority w:val="99"/>
    <w:pPr>
      <w:widowControl/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0"/>
      <w:szCs w:val="20"/>
      <w:lang w:val="x-none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Sylfaen" w:hAnsi="Sylfaen" w:cs="Sylfaen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0"/>
      <w:szCs w:val="20"/>
      <w:lang w:val="x-none"/>
    </w:rPr>
  </w:style>
  <w:style w:type="paragraph" w:styleId="List">
    <w:name w:val="List"/>
    <w:basedOn w:val="BodyText"/>
    <w:uiPriority w:val="99"/>
    <w:rPr>
      <w:rFonts w:ascii="Sylfaen" w:hAnsi="Sylfaen" w:cs="Sylfaen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rFonts w:ascii="Sylfaen" w:hAnsi="Sylfaen" w:cs="Sylfaen"/>
      <w:i/>
      <w:iCs/>
      <w:sz w:val="24"/>
      <w:szCs w:val="24"/>
    </w:rPr>
  </w:style>
  <w:style w:type="paragraph" w:customStyle="1" w:styleId="Index">
    <w:name w:val="Index"/>
    <w:basedOn w:val="Normal"/>
    <w:uiPriority w:val="99"/>
    <w:rPr>
      <w:rFonts w:ascii="Sylfaen" w:hAnsi="Sylfaen" w:cs="Sylfae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x-none"/>
    </w:rPr>
  </w:style>
  <w:style w:type="paragraph" w:styleId="BodyTextIndent">
    <w:name w:val="Body Text Indent"/>
    <w:basedOn w:val="Normal"/>
    <w:link w:val="BodyTextIndentChar"/>
    <w:uiPriority w:val="99"/>
    <w:pPr>
      <w:ind w:firstLine="720"/>
      <w:jc w:val="both"/>
    </w:pPr>
    <w:rPr>
      <w:rFonts w:ascii="GeoDumba" w:hAnsi="GeoDumba" w:cs="GeoDumba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hAnsi="Arial" w:cs="Arial"/>
      <w:sz w:val="20"/>
      <w:szCs w:val="20"/>
      <w:lang w:val="x-none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  <w:jc w:val="both"/>
    </w:pPr>
    <w:rPr>
      <w:rFonts w:ascii="GeoDumba" w:hAnsi="GeoDumba" w:cs="GeoDumba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hAnsi="Arial" w:cs="Arial"/>
      <w:sz w:val="20"/>
      <w:szCs w:val="20"/>
      <w:lang w:val="x-none"/>
    </w:rPr>
  </w:style>
  <w:style w:type="paragraph" w:styleId="BodyTextIndent3">
    <w:name w:val="Body Text Indent 3"/>
    <w:basedOn w:val="Normal"/>
    <w:link w:val="BodyTextIndent3Char"/>
    <w:uiPriority w:val="99"/>
    <w:pPr>
      <w:ind w:firstLine="720"/>
      <w:jc w:val="both"/>
    </w:pPr>
    <w:rPr>
      <w:rFonts w:ascii="GeoDumba" w:hAnsi="GeoDumba" w:cs="GeoDumba"/>
      <w:i/>
      <w:iCs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hAnsi="Arial" w:cs="Arial"/>
      <w:sz w:val="16"/>
      <w:szCs w:val="16"/>
      <w:lang w:val="x-none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0"/>
      <w:szCs w:val="20"/>
      <w:lang w:val="x-none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uiPriority w:val="99"/>
    <w:pPr>
      <w:widowControl/>
      <w:spacing w:after="160" w:line="240" w:lineRule="exact"/>
    </w:pPr>
  </w:style>
  <w:style w:type="character" w:customStyle="1" w:styleId="CharChar6">
    <w:name w:val="Char Char6"/>
    <w:basedOn w:val="DefaultParagraphFont"/>
    <w:uiPriority w:val="99"/>
    <w:rPr>
      <w:sz w:val="20"/>
      <w:szCs w:val="20"/>
    </w:rPr>
  </w:style>
  <w:style w:type="character" w:customStyle="1" w:styleId="CharChar5">
    <w:name w:val="Char Char5"/>
    <w:basedOn w:val="DefaultParagraphFont"/>
    <w:uiPriority w:val="99"/>
    <w:rPr>
      <w:sz w:val="20"/>
      <w:szCs w:val="20"/>
    </w:rPr>
  </w:style>
  <w:style w:type="character" w:customStyle="1" w:styleId="CharChar4">
    <w:name w:val="Char Char4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CharChar3">
    <w:name w:val="Char Char3"/>
    <w:basedOn w:val="DefaultParagraphFont"/>
    <w:uiPriority w:val="99"/>
    <w:rPr>
      <w:sz w:val="20"/>
      <w:szCs w:val="20"/>
    </w:rPr>
  </w:style>
  <w:style w:type="character" w:customStyle="1" w:styleId="CharChar2">
    <w:name w:val="Char Char2"/>
    <w:basedOn w:val="DefaultParagraphFont"/>
    <w:uiPriority w:val="99"/>
    <w:rPr>
      <w:sz w:val="20"/>
      <w:szCs w:val="20"/>
    </w:rPr>
  </w:style>
  <w:style w:type="character" w:customStyle="1" w:styleId="CharChar1">
    <w:name w:val="Char Char1"/>
    <w:basedOn w:val="DefaultParagraphFont"/>
    <w:uiPriority w:val="99"/>
    <w:rPr>
      <w:sz w:val="16"/>
      <w:szCs w:val="16"/>
    </w:rPr>
  </w:style>
  <w:style w:type="character" w:customStyle="1" w:styleId="CharChar">
    <w:name w:val="Char Char"/>
    <w:basedOn w:val="DefaultParagraphFont"/>
    <w:uiPriority w:val="99"/>
    <w:rPr>
      <w:sz w:val="20"/>
      <w:szCs w:val="20"/>
    </w:rPr>
  </w:style>
  <w:style w:type="character" w:styleId="PageNumber">
    <w:name w:val="page number"/>
    <w:basedOn w:val="DefaultParagraphFont"/>
    <w:uiPriority w:val="99"/>
  </w:style>
  <w:style w:type="character" w:customStyle="1" w:styleId="Absatz-Standardschriftart">
    <w:name w:val="Absatz-Standardschriftart"/>
    <w:basedOn w:val="DefaultParagraphFont"/>
    <w:uiPriority w:val="99"/>
  </w:style>
  <w:style w:type="character" w:customStyle="1" w:styleId="WW-Absatz-Standardschriftart">
    <w:name w:val="WW-Absatz-Standardschriftart"/>
    <w:basedOn w:val="DefaultParagraphFont"/>
    <w:uiPriority w:val="99"/>
  </w:style>
  <w:style w:type="character" w:customStyle="1" w:styleId="WW-Absatz-Standardschriftart1">
    <w:name w:val="WW-Absatz-Standardschriftart1"/>
    <w:basedOn w:val="DefaultParagraphFont"/>
    <w:uiPriority w:val="99"/>
  </w:style>
  <w:style w:type="character" w:customStyle="1" w:styleId="WW-Absatz-Standardschriftart11">
    <w:name w:val="WW-Absatz-Standardschriftart11"/>
    <w:basedOn w:val="DefaultParagraphFont"/>
    <w:uiPriority w:val="99"/>
  </w:style>
  <w:style w:type="character" w:customStyle="1" w:styleId="WW-Absatz-Standardschriftart111">
    <w:name w:val="WW-Absatz-Standardschriftart111"/>
    <w:basedOn w:val="DefaultParagraphFont"/>
    <w:uiPriority w:val="99"/>
  </w:style>
  <w:style w:type="character" w:customStyle="1" w:styleId="WW8Num1z0">
    <w:name w:val="WW8Num1z0"/>
    <w:basedOn w:val="DefaultParagraphFont"/>
    <w:uiPriority w:val="99"/>
  </w:style>
  <w:style w:type="character" w:customStyle="1" w:styleId="WW8Num2z0">
    <w:name w:val="WW8Num2z0"/>
    <w:basedOn w:val="DefaultParagraphFont"/>
    <w:uiPriority w:val="99"/>
  </w:style>
  <w:style w:type="character" w:customStyle="1" w:styleId="WW8Num3z0">
    <w:name w:val="WW8Num3z0"/>
    <w:basedOn w:val="DefaultParagraphFont"/>
    <w:uiPriority w:val="99"/>
  </w:style>
  <w:style w:type="character" w:customStyle="1" w:styleId="WW8Num4z0">
    <w:name w:val="WW8Num4z0"/>
    <w:basedOn w:val="DefaultParagraphFont"/>
    <w:uiPriority w:val="99"/>
  </w:style>
  <w:style w:type="character" w:customStyle="1" w:styleId="WW8Num5z0">
    <w:name w:val="WW8Num5z0"/>
    <w:basedOn w:val="DefaultParagraphFont"/>
    <w:uiPriority w:val="99"/>
  </w:style>
  <w:style w:type="character" w:customStyle="1" w:styleId="WW8Num6z0">
    <w:name w:val="WW8Num6z0"/>
    <w:basedOn w:val="DefaultParagraphFont"/>
    <w:uiPriority w:val="99"/>
  </w:style>
  <w:style w:type="character" w:customStyle="1" w:styleId="WW8Num7z0">
    <w:name w:val="WW8Num7z0"/>
    <w:basedOn w:val="DefaultParagraphFont"/>
    <w:uiPriority w:val="99"/>
  </w:style>
  <w:style w:type="character" w:customStyle="1" w:styleId="WW8Num10z0">
    <w:name w:val="WW8Num10z0"/>
    <w:basedOn w:val="DefaultParagraphFont"/>
    <w:uiPriority w:val="99"/>
  </w:style>
  <w:style w:type="character" w:customStyle="1" w:styleId="WW8Num11z0">
    <w:name w:val="WW8Num11z0"/>
    <w:basedOn w:val="DefaultParagraphFont"/>
    <w:uiPriority w:val="99"/>
  </w:style>
  <w:style w:type="character" w:customStyle="1" w:styleId="WW8Num12z0">
    <w:name w:val="WW8Num12z0"/>
    <w:basedOn w:val="DefaultParagraphFont"/>
    <w:uiPriority w:val="99"/>
  </w:style>
  <w:style w:type="character" w:customStyle="1" w:styleId="WW8Num15z0">
    <w:name w:val="WW8Num15z0"/>
    <w:basedOn w:val="DefaultParagraphFont"/>
    <w:uiPriority w:val="99"/>
    <w:rPr>
      <w:sz w:val="22"/>
      <w:szCs w:val="22"/>
    </w:rPr>
  </w:style>
  <w:style w:type="character" w:customStyle="1" w:styleId="NumberingSymbols">
    <w:name w:val="Numbering Symbols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2337</Words>
  <Characters>13324</Characters>
  <Application>Microsoft Office Word</Application>
  <DocSecurity>0</DocSecurity>
  <Lines>111</Lines>
  <Paragraphs>31</Paragraphs>
  <ScaleCrop>false</ScaleCrop>
  <Company/>
  <LinksUpToDate>false</LinksUpToDate>
  <CharactersWithSpaces>15630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2022-08-16T16:56:00Z</dcterms:created>
  <dcterms:modified xsi:type="dcterms:W3CDTF">2022-08-16T16:56:00Z</dcterms:modified>
</cp:coreProperties>
</file>