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EF67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BBEFF7C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95C134E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ადმინისტრაციული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სახდელისაგან</w:t>
      </w:r>
    </w:p>
    <w:p w14:paraId="5C5DA0AE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განთავისუფლების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0EEA0B1B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center"/>
        <w:rPr>
          <w:rFonts w:ascii="Sylfaen" w:hAnsi="Sylfaen" w:cs="Sylfaen"/>
          <w:sz w:val="24"/>
          <w:szCs w:val="24"/>
        </w:rPr>
      </w:pPr>
    </w:p>
    <w:p w14:paraId="43B8C0C2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 </w:t>
      </w:r>
    </w:p>
    <w:p w14:paraId="21C7A3ED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</w:t>
      </w:r>
      <w:r>
        <w:rPr>
          <w:rFonts w:ascii="Sylfaen" w:hAnsi="Sylfaen" w:cs="Sylfaen"/>
          <w:sz w:val="24"/>
          <w:szCs w:val="24"/>
        </w:rPr>
        <w:t>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N12, 1984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  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421)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ჩაიდინეს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ივნისამდე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აღსრულებულა</w:t>
      </w:r>
      <w:r>
        <w:rPr>
          <w:rFonts w:ascii="Sylfaen" w:hAnsi="Sylfaen" w:cs="Sylfaen"/>
          <w:sz w:val="24"/>
          <w:szCs w:val="24"/>
        </w:rPr>
        <w:t>.</w:t>
      </w:r>
    </w:p>
    <w:p w14:paraId="02E87F96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58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79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79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100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114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116-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129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144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144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144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150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152-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155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164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179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სამართალდარღვევებზე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2C7351B8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F12CA79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  </w:t>
      </w:r>
    </w:p>
    <w:p w14:paraId="6EEE7180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</w:t>
      </w:r>
      <w:r>
        <w:rPr>
          <w:rFonts w:ascii="Sylfaen" w:hAnsi="Sylfaen" w:cs="Sylfaen"/>
          <w:sz w:val="24"/>
          <w:szCs w:val="24"/>
        </w:rPr>
        <w:t>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საურავისაგან</w:t>
      </w:r>
      <w:r>
        <w:rPr>
          <w:rFonts w:ascii="Sylfaen" w:hAnsi="Sylfaen" w:cs="Sylfaen"/>
          <w:sz w:val="24"/>
          <w:szCs w:val="24"/>
        </w:rPr>
        <w:t>.</w:t>
      </w:r>
    </w:p>
    <w:p w14:paraId="4C852AC5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აღუსრულებელ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BC6975E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</w:t>
      </w:r>
    </w:p>
    <w:p w14:paraId="7CA9B5C8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 </w:t>
      </w:r>
    </w:p>
    <w:p w14:paraId="15AFA22F" w14:textId="77777777" w:rsidR="00000000" w:rsidRDefault="00A158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</w:t>
      </w:r>
      <w:r>
        <w:rPr>
          <w:rFonts w:ascii="Sylfaen" w:hAnsi="Sylfaen" w:cs="Sylfaen"/>
          <w:sz w:val="24"/>
          <w:szCs w:val="24"/>
        </w:rPr>
        <w:t>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გადაწყვიტონ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14:paraId="0DEDA78A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>.</w:t>
      </w:r>
    </w:p>
    <w:p w14:paraId="71411107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83726B6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მუხლი</w:t>
      </w:r>
      <w:r>
        <w:rPr>
          <w:rFonts w:ascii="Sylfaen" w:hAnsi="Sylfaen" w:cs="Sylfaen"/>
          <w:sz w:val="24"/>
          <w:szCs w:val="24"/>
        </w:rPr>
        <w:t xml:space="preserve"> 4 </w:t>
      </w:r>
    </w:p>
    <w:p w14:paraId="26D506FC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</w:t>
      </w:r>
      <w:r>
        <w:rPr>
          <w:rFonts w:ascii="Sylfaen" w:hAnsi="Sylfaen" w:cs="Sylfaen"/>
          <w:sz w:val="24"/>
          <w:szCs w:val="24"/>
        </w:rPr>
        <w:t>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14:paraId="5579B67B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95A6AB8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14:paraId="5CBCED1C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6E123F6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14:paraId="162D7793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11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>.</w:t>
      </w:r>
    </w:p>
    <w:p w14:paraId="695108C2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N 3093 – </w:t>
      </w:r>
      <w:r>
        <w:rPr>
          <w:rFonts w:ascii="Sylfaen" w:hAnsi="Sylfaen" w:cs="Sylfaen"/>
          <w:sz w:val="24"/>
          <w:szCs w:val="24"/>
        </w:rPr>
        <w:t>რს</w:t>
      </w:r>
    </w:p>
    <w:p w14:paraId="64C9E9D1" w14:textId="77777777" w:rsidR="00000000" w:rsidRDefault="00A15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58F9"/>
    <w:rsid w:val="00A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BC41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harChar1">
    <w:name w:val="Char Char1"/>
    <w:basedOn w:val="DefaultParagraphFon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LitNusx" w:hAnsi="LitNusx" w:cs="LitNusx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CharChar">
    <w:name w:val="Char Char"/>
    <w:basedOn w:val="DefaultParagraphFont"/>
    <w:uiPriority w:val="99"/>
    <w:rPr>
      <w:rFonts w:ascii="LitNusx" w:hAnsi="LitNusx" w:cs="LitNusx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