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A2F8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right="141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3D85F456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right="141" w:firstLine="710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56FB64D4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right="141" w:firstLine="71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სააღსრულებო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წარმოებათა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</w:p>
    <w:p w14:paraId="0557EDD7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right="141" w:firstLine="71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194BF5E6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right="141" w:firstLine="710"/>
        <w:jc w:val="both"/>
        <w:rPr>
          <w:rFonts w:ascii="Sylfaen" w:hAnsi="Sylfaen" w:cs="Sylfaen"/>
          <w:sz w:val="24"/>
          <w:szCs w:val="24"/>
        </w:rPr>
      </w:pPr>
    </w:p>
    <w:p w14:paraId="12253327" w14:textId="77777777" w:rsidR="00000000" w:rsidRDefault="004551EE">
      <w:pPr>
        <w:tabs>
          <w:tab w:val="left" w:pos="720"/>
          <w:tab w:val="center" w:pos="474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ab/>
        <w:t>„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N13(20), 1999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52) </w:t>
      </w:r>
      <w:r>
        <w:rPr>
          <w:rFonts w:ascii="Sylfaen" w:hAnsi="Sylfaen" w:cs="Sylfaen"/>
          <w:sz w:val="24"/>
          <w:szCs w:val="24"/>
        </w:rPr>
        <w:t>შეტანი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დამატებები</w:t>
      </w:r>
      <w:r>
        <w:rPr>
          <w:rFonts w:ascii="Sylfaen" w:hAnsi="Sylfaen" w:cs="Sylfaen"/>
          <w:sz w:val="24"/>
          <w:szCs w:val="24"/>
        </w:rPr>
        <w:t>:</w:t>
      </w:r>
    </w:p>
    <w:p w14:paraId="3828144B" w14:textId="77777777" w:rsidR="00000000" w:rsidRDefault="004551EE">
      <w:pPr>
        <w:tabs>
          <w:tab w:val="left" w:pos="720"/>
          <w:tab w:val="center" w:pos="474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749F52C4" w14:textId="77777777" w:rsidR="00000000" w:rsidRDefault="004551EE">
      <w:pPr>
        <w:tabs>
          <w:tab w:val="left" w:pos="720"/>
          <w:tab w:val="center" w:pos="474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F371B06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აწესრიგებს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არბიტრაჟის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რესტიტუციისა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</w:t>
      </w:r>
      <w:r>
        <w:rPr>
          <w:rFonts w:ascii="Sylfaen" w:hAnsi="Sylfaen" w:cs="Sylfaen"/>
          <w:sz w:val="24"/>
          <w:szCs w:val="24"/>
        </w:rPr>
        <w:t>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ევროპული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17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2014655C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49814C65" w14:textId="77777777" w:rsidR="00000000" w:rsidRDefault="004551E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05C8D98" w14:textId="77777777" w:rsidR="00000000" w:rsidRDefault="004551E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9B0BDF5" w14:textId="77777777" w:rsidR="00000000" w:rsidRDefault="004551E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C7453A0" w14:textId="77777777" w:rsidR="00000000" w:rsidRDefault="004551E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პირობას</w:t>
      </w:r>
      <w:r>
        <w:rPr>
          <w:rFonts w:ascii="Sylfaen" w:hAnsi="Sylfaen" w:cs="Sylfaen"/>
          <w:sz w:val="24"/>
          <w:szCs w:val="24"/>
        </w:rPr>
        <w:t>:</w:t>
      </w:r>
    </w:p>
    <w:p w14:paraId="65B8C71D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ჩაბარებული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სპეციალიზაციით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ნოტარიუსთა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ადვოკატთა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სპეციალიზაციით</w:t>
      </w:r>
      <w:r>
        <w:rPr>
          <w:rFonts w:ascii="Sylfaen" w:hAnsi="Sylfaen" w:cs="Sylfaen"/>
          <w:sz w:val="24"/>
          <w:szCs w:val="24"/>
        </w:rPr>
        <w:t>;</w:t>
      </w:r>
    </w:p>
    <w:p w14:paraId="7CBB80E4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ტაჟირება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04CB778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A274E2F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12.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           </w:t>
      </w:r>
    </w:p>
    <w:p w14:paraId="30EF47E1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საფუძვლები</w:t>
      </w:r>
    </w:p>
    <w:p w14:paraId="66A53E4E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მუშაობას</w:t>
      </w:r>
      <w:r>
        <w:rPr>
          <w:rFonts w:ascii="Sylfaen" w:hAnsi="Sylfaen" w:cs="Sylfaen"/>
          <w:sz w:val="24"/>
          <w:szCs w:val="24"/>
        </w:rPr>
        <w:t>.“.</w:t>
      </w:r>
      <w:r>
        <w:rPr>
          <w:rFonts w:ascii="Sylfaen" w:hAnsi="Sylfaen" w:cs="Sylfaen"/>
          <w:sz w:val="24"/>
          <w:szCs w:val="24"/>
        </w:rPr>
        <w:tab/>
      </w:r>
    </w:p>
    <w:p w14:paraId="6C541FAF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6. 14</w:t>
      </w:r>
      <w:r>
        <w:rPr>
          <w:rFonts w:ascii="Sylfaen" w:hAnsi="Sylfaen" w:cs="Sylfaen"/>
          <w:position w:val="6"/>
          <w:sz w:val="24"/>
          <w:szCs w:val="24"/>
        </w:rPr>
        <w:t xml:space="preserve">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7250653F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„6.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თავისებურებათა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-7–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-12–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მუხლებისა</w:t>
      </w:r>
      <w:r>
        <w:rPr>
          <w:rFonts w:ascii="Sylfaen" w:hAnsi="Sylfaen" w:cs="Sylfaen"/>
          <w:sz w:val="24"/>
          <w:szCs w:val="24"/>
        </w:rPr>
        <w:t>, III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თავისა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>, 17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>, 18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>, 21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პუნქტებისა</w:t>
      </w:r>
      <w:r>
        <w:rPr>
          <w:rFonts w:ascii="Sylfaen" w:hAnsi="Sylfaen" w:cs="Sylfaen"/>
          <w:sz w:val="24"/>
          <w:szCs w:val="24"/>
        </w:rPr>
        <w:t>,   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>, 28-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>, 28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>, 36-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ქვეპუნქტისა</w:t>
      </w:r>
      <w:r>
        <w:rPr>
          <w:rFonts w:ascii="Sylfaen" w:hAnsi="Sylfaen" w:cs="Sylfaen"/>
          <w:sz w:val="24"/>
          <w:szCs w:val="24"/>
        </w:rPr>
        <w:t>, 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მუხლებისა</w:t>
      </w:r>
      <w:r>
        <w:rPr>
          <w:rFonts w:ascii="Sylfaen" w:hAnsi="Sylfaen" w:cs="Sylfaen"/>
          <w:sz w:val="24"/>
          <w:szCs w:val="24"/>
        </w:rPr>
        <w:t>, 49-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პუნქტებისა</w:t>
      </w:r>
      <w:r>
        <w:rPr>
          <w:rFonts w:ascii="Sylfaen" w:hAnsi="Sylfaen" w:cs="Sylfaen"/>
          <w:sz w:val="24"/>
          <w:szCs w:val="24"/>
        </w:rPr>
        <w:t>, 50-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       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მუხლებისა</w:t>
      </w:r>
      <w:r>
        <w:rPr>
          <w:rFonts w:ascii="Sylfaen" w:hAnsi="Sylfaen" w:cs="Sylfaen"/>
          <w:sz w:val="24"/>
          <w:szCs w:val="24"/>
        </w:rPr>
        <w:t>, 62-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75-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–76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მუხლებისა</w:t>
      </w:r>
      <w:r>
        <w:rPr>
          <w:rFonts w:ascii="Sylfaen" w:hAnsi="Sylfaen" w:cs="Sylfaen"/>
          <w:sz w:val="24"/>
          <w:szCs w:val="24"/>
        </w:rPr>
        <w:t>, 77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>,     82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ქვეპუნქტისა</w:t>
      </w:r>
      <w:r>
        <w:rPr>
          <w:rFonts w:ascii="Sylfaen" w:hAnsi="Sylfaen" w:cs="Sylfaen"/>
          <w:sz w:val="24"/>
          <w:szCs w:val="24"/>
        </w:rPr>
        <w:t>, 90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91-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მუხლებისა</w:t>
      </w:r>
      <w:r>
        <w:rPr>
          <w:rFonts w:ascii="Sylfaen" w:hAnsi="Sylfaen" w:cs="Sylfaen"/>
          <w:sz w:val="24"/>
          <w:szCs w:val="24"/>
        </w:rPr>
        <w:t>, XVII, XVIII, XVIII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XVIII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XIX </w:t>
      </w:r>
      <w:r>
        <w:rPr>
          <w:rFonts w:ascii="Sylfaen" w:hAnsi="Sylfaen" w:cs="Sylfaen"/>
          <w:sz w:val="24"/>
          <w:szCs w:val="24"/>
        </w:rPr>
        <w:t>თავებისა</w:t>
      </w:r>
      <w:r>
        <w:rPr>
          <w:rFonts w:ascii="Sylfaen" w:hAnsi="Sylfaen" w:cs="Sylfaen"/>
          <w:sz w:val="24"/>
          <w:szCs w:val="24"/>
        </w:rPr>
        <w:t>, 113-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   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-9–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-13–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პუნ</w:t>
      </w:r>
      <w:r>
        <w:rPr>
          <w:rFonts w:ascii="Sylfaen" w:hAnsi="Sylfaen" w:cs="Sylfaen"/>
          <w:sz w:val="24"/>
          <w:szCs w:val="24"/>
        </w:rPr>
        <w:t>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113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>.“.</w:t>
      </w:r>
    </w:p>
    <w:p w14:paraId="114918A7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7. 14</w:t>
      </w:r>
      <w:r>
        <w:rPr>
          <w:rFonts w:ascii="Sylfaen" w:hAnsi="Sylfaen" w:cs="Sylfaen"/>
          <w:position w:val="6"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3C436E66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1EF0D95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</w:t>
      </w:r>
      <w:r>
        <w:rPr>
          <w:rFonts w:ascii="Sylfaen" w:hAnsi="Sylfaen" w:cs="Sylfaen"/>
          <w:sz w:val="24"/>
          <w:szCs w:val="24"/>
        </w:rPr>
        <w:t>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500 000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>.“;</w:t>
      </w:r>
    </w:p>
    <w:p w14:paraId="4AE8CE64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6042B42F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სარეალიზაციო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მდებარეობის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სარეალიზაციო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</w:t>
      </w:r>
      <w:r>
        <w:rPr>
          <w:rFonts w:ascii="Sylfaen" w:hAnsi="Sylfaen" w:cs="Sylfaen"/>
          <w:sz w:val="24"/>
          <w:szCs w:val="24"/>
        </w:rPr>
        <w:t>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მდებარეობის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სააუქციონო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სააუქციონო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;“.  </w:t>
      </w:r>
    </w:p>
    <w:p w14:paraId="7A076874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93F343D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8. 19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8C3B2A5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</w:t>
      </w:r>
      <w:r>
        <w:rPr>
          <w:rFonts w:ascii="Sylfaen" w:hAnsi="Sylfaen" w:cs="Sylfaen"/>
          <w:sz w:val="24"/>
          <w:szCs w:val="24"/>
        </w:rPr>
        <w:t>ქტი</w:t>
      </w:r>
      <w:r>
        <w:rPr>
          <w:rFonts w:ascii="Sylfaen" w:hAnsi="Sylfaen" w:cs="Sylfaen"/>
          <w:sz w:val="24"/>
          <w:szCs w:val="24"/>
        </w:rPr>
        <w:t>:</w:t>
      </w:r>
    </w:p>
    <w:p w14:paraId="66A93D67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.“;</w:t>
      </w:r>
    </w:p>
    <w:p w14:paraId="05A593FB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C2AA574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საამისოდ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B1A1F7E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6.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საღებად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4370222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9. 19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D59B8A2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შეაჩერ</w:t>
      </w:r>
      <w:r>
        <w:rPr>
          <w:rFonts w:ascii="Sylfaen" w:hAnsi="Sylfaen" w:cs="Sylfaen"/>
          <w:sz w:val="24"/>
          <w:szCs w:val="24"/>
        </w:rPr>
        <w:t>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ამორიცხვამდე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>.</w:t>
      </w:r>
    </w:p>
    <w:p w14:paraId="460CD001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ამორიცხვამდე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>.“.</w:t>
      </w:r>
    </w:p>
    <w:p w14:paraId="74949632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0352E238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DBD411B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კრედიტორისა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რეკვიზიტები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საიდენტიფიკაციო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საკონტაქტო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</w:t>
      </w:r>
      <w:r>
        <w:rPr>
          <w:rFonts w:ascii="Sylfaen" w:hAnsi="Sylfaen" w:cs="Sylfaen"/>
          <w:sz w:val="24"/>
          <w:szCs w:val="24"/>
        </w:rPr>
        <w:t>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აღსრულებისას</w:t>
      </w:r>
      <w:r>
        <w:rPr>
          <w:rFonts w:ascii="Sylfaen" w:hAnsi="Sylfaen" w:cs="Sylfaen"/>
          <w:sz w:val="24"/>
          <w:szCs w:val="24"/>
        </w:rPr>
        <w:t>.“;</w:t>
      </w:r>
    </w:p>
    <w:p w14:paraId="00777C96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2F32D75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ბეჭდით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საარბიტრაჟო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</w:t>
      </w:r>
      <w:r>
        <w:rPr>
          <w:rFonts w:ascii="Sylfaen" w:hAnsi="Sylfaen" w:cs="Sylfaen"/>
          <w:sz w:val="24"/>
          <w:szCs w:val="24"/>
        </w:rPr>
        <w:t>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ავტომატური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ფურცლისა</w:t>
      </w:r>
      <w:r>
        <w:rPr>
          <w:rFonts w:ascii="Sylfaen" w:hAnsi="Sylfaen" w:cs="Sylfaen"/>
          <w:sz w:val="24"/>
          <w:szCs w:val="24"/>
        </w:rPr>
        <w:t>.“.</w:t>
      </w:r>
    </w:p>
    <w:p w14:paraId="4623A65D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</w:p>
    <w:p w14:paraId="60B22059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11. 28-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C8FF0C4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ჩაჰბარდება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</w:t>
      </w:r>
      <w:r>
        <w:rPr>
          <w:rFonts w:ascii="Sylfaen" w:hAnsi="Sylfaen" w:cs="Sylfaen"/>
          <w:sz w:val="24"/>
          <w:szCs w:val="24"/>
        </w:rPr>
        <w:t>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აფრთხილებს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</w:t>
      </w:r>
      <w:r>
        <w:rPr>
          <w:rFonts w:ascii="Sylfaen" w:hAnsi="Sylfaen" w:cs="Sylfaen"/>
          <w:sz w:val="24"/>
          <w:szCs w:val="24"/>
        </w:rPr>
        <w:t>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განემარტება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>.“.</w:t>
      </w:r>
    </w:p>
    <w:p w14:paraId="29146167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12. 28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DE969DD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შეფარდების</w:t>
      </w:r>
      <w:r>
        <w:rPr>
          <w:rFonts w:ascii="Sylfaen" w:hAnsi="Sylfaen" w:cs="Sylfaen"/>
          <w:sz w:val="24"/>
          <w:szCs w:val="24"/>
        </w:rPr>
        <w:t xml:space="preserve">                 </w:t>
      </w:r>
    </w:p>
    <w:p w14:paraId="4E8EF4AA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D4CEC22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B0BAE0A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შემტანი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მოახდინოს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A209FBB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13.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109CAA92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65484A26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განხორციელდა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ლიკვიდაცია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</w:t>
      </w:r>
      <w:r>
        <w:rPr>
          <w:rFonts w:ascii="Sylfaen" w:hAnsi="Sylfaen" w:cs="Sylfaen"/>
          <w:sz w:val="24"/>
          <w:szCs w:val="24"/>
        </w:rPr>
        <w:t>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21518CF7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099AE8E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უქმდება</w:t>
      </w:r>
      <w:r>
        <w:rPr>
          <w:rFonts w:ascii="Sylfaen" w:hAnsi="Sylfaen" w:cs="Sylfaen"/>
          <w:sz w:val="24"/>
          <w:szCs w:val="24"/>
        </w:rPr>
        <w:t>.“;</w:t>
      </w:r>
    </w:p>
    <w:p w14:paraId="32CA5AB9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</w:t>
      </w:r>
      <w:r>
        <w:rPr>
          <w:rFonts w:ascii="Sylfaen" w:hAnsi="Sylfaen" w:cs="Sylfaen"/>
          <w:sz w:val="24"/>
          <w:szCs w:val="24"/>
        </w:rPr>
        <w:t>ქტი</w:t>
      </w:r>
      <w:r>
        <w:rPr>
          <w:rFonts w:ascii="Sylfaen" w:hAnsi="Sylfaen" w:cs="Sylfaen"/>
          <w:sz w:val="24"/>
          <w:szCs w:val="24"/>
        </w:rPr>
        <w:t>:</w:t>
      </w:r>
    </w:p>
    <w:p w14:paraId="18073C95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>.“.</w:t>
      </w:r>
    </w:p>
    <w:p w14:paraId="68ABDDA5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14. 36-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2462E1A7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აღმასრულებლის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ჩამორთმევის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აჩერებს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მიღებამდე</w:t>
      </w:r>
      <w:r>
        <w:rPr>
          <w:rFonts w:ascii="Sylfaen" w:hAnsi="Sylfaen" w:cs="Sylfaen"/>
          <w:sz w:val="24"/>
          <w:szCs w:val="24"/>
        </w:rPr>
        <w:t>.“.</w:t>
      </w:r>
    </w:p>
    <w:p w14:paraId="00778DED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15. 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58C70CD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38.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          </w:t>
      </w:r>
    </w:p>
    <w:p w14:paraId="77D028AF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8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07B5C077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8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აღსრულებისას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2A54542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8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დაწესებული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795EDF5F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დამატებული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>.</w:t>
      </w:r>
    </w:p>
    <w:p w14:paraId="47AC3D04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საფასურიდან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დამატებული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</w:t>
      </w:r>
      <w:r>
        <w:rPr>
          <w:rFonts w:ascii="Sylfaen" w:hAnsi="Sylfaen" w:cs="Sylfaen"/>
          <w:sz w:val="24"/>
          <w:szCs w:val="24"/>
        </w:rPr>
        <w:t>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გამოკლებით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ამოცანების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5ADA5E2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ოსავლები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ამოცანების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</w:t>
      </w:r>
      <w:r>
        <w:rPr>
          <w:rFonts w:ascii="Sylfaen" w:hAnsi="Sylfaen" w:cs="Sylfaen"/>
          <w:sz w:val="24"/>
          <w:szCs w:val="24"/>
        </w:rPr>
        <w:t>.</w:t>
      </w:r>
    </w:p>
    <w:p w14:paraId="61C1AA5D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DB194C4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</w:t>
      </w:r>
      <w:r>
        <w:rPr>
          <w:rFonts w:ascii="Sylfaen" w:hAnsi="Sylfaen" w:cs="Sylfaen"/>
          <w:sz w:val="24"/>
          <w:szCs w:val="24"/>
        </w:rPr>
        <w:t>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>.</w:t>
      </w:r>
    </w:p>
    <w:p w14:paraId="00A4FB06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7%-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.</w:t>
      </w:r>
    </w:p>
    <w:p w14:paraId="543EC429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გადახდევინებასთან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2%-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უბრუნდება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პროპორციულად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</w:t>
      </w:r>
      <w:r>
        <w:rPr>
          <w:rFonts w:ascii="Sylfaen" w:hAnsi="Sylfaen" w:cs="Sylfaen"/>
          <w:sz w:val="24"/>
          <w:szCs w:val="24"/>
        </w:rPr>
        <w:t>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>.</w:t>
      </w:r>
    </w:p>
    <w:p w14:paraId="06F82E78" w14:textId="77777777" w:rsidR="00000000" w:rsidRDefault="004551E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უბრუნდება</w:t>
      </w:r>
      <w:r>
        <w:rPr>
          <w:rFonts w:ascii="Sylfaen" w:hAnsi="Sylfaen" w:cs="Sylfaen"/>
          <w:sz w:val="24"/>
          <w:szCs w:val="24"/>
        </w:rPr>
        <w:t>.</w:t>
      </w:r>
    </w:p>
    <w:p w14:paraId="7A1B5ACD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ეტაპობ</w:t>
      </w:r>
      <w:r>
        <w:rPr>
          <w:rFonts w:ascii="Sylfaen" w:hAnsi="Sylfaen" w:cs="Sylfaen"/>
          <w:sz w:val="24"/>
          <w:szCs w:val="24"/>
        </w:rPr>
        <w:t>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იფარება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პროპორციულად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>.</w:t>
      </w:r>
    </w:p>
    <w:p w14:paraId="067766EF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გამოთხოვის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</w:t>
      </w:r>
      <w:r>
        <w:rPr>
          <w:rFonts w:ascii="Sylfaen" w:hAnsi="Sylfaen" w:cs="Sylfaen"/>
          <w:sz w:val="24"/>
          <w:szCs w:val="24"/>
        </w:rPr>
        <w:t>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კატეგორიის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14:paraId="2DB48710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268-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გადაწყვეტილებებზე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გადაიხდევინება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7%-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>.</w:t>
      </w:r>
    </w:p>
    <w:p w14:paraId="01AE390C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თავისუფლდება</w:t>
      </w:r>
      <w:r>
        <w:rPr>
          <w:rFonts w:ascii="Sylfaen" w:hAnsi="Sylfaen" w:cs="Sylfaen"/>
          <w:sz w:val="24"/>
          <w:szCs w:val="24"/>
        </w:rPr>
        <w:t>:</w:t>
      </w:r>
    </w:p>
    <w:p w14:paraId="13CF38BC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სოციალურად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მოწმობით</w:t>
      </w:r>
      <w:r>
        <w:rPr>
          <w:rFonts w:ascii="Sylfaen" w:hAnsi="Sylfaen" w:cs="Sylfaen"/>
          <w:sz w:val="24"/>
          <w:szCs w:val="24"/>
        </w:rPr>
        <w:t xml:space="preserve">;   </w:t>
      </w:r>
    </w:p>
    <w:p w14:paraId="0FC040B2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გაათავისუფლოს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). </w:t>
      </w:r>
    </w:p>
    <w:p w14:paraId="5D7EA037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გადახდისაგან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77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გადახდისაგან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DD5369F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</w:t>
      </w:r>
      <w:r>
        <w:rPr>
          <w:rFonts w:ascii="Sylfaen" w:hAnsi="Sylfaen" w:cs="Sylfaen"/>
          <w:sz w:val="24"/>
          <w:szCs w:val="24"/>
        </w:rPr>
        <w:t>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2%-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.</w:t>
      </w:r>
    </w:p>
    <w:p w14:paraId="579D4707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გადაიხდევინება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უკავშირდება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168-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680-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22-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7BACC82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64445F75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არაუზრუნველყოფილი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მოგირავნე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2E0EE93E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17. 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D16ABEB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71.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39CE1948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</w:t>
      </w:r>
      <w:r>
        <w:rPr>
          <w:rFonts w:ascii="Sylfaen" w:hAnsi="Sylfaen" w:cs="Sylfaen"/>
          <w:sz w:val="24"/>
          <w:szCs w:val="24"/>
        </w:rPr>
        <w:t>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>.“.</w:t>
      </w:r>
    </w:p>
    <w:p w14:paraId="32ACC0DD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18. 72-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–74-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286FB2BB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19. 75-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60287E9B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0C8DF5E0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</w:t>
      </w:r>
      <w:r>
        <w:rPr>
          <w:rFonts w:ascii="Sylfaen" w:hAnsi="Sylfaen" w:cs="Sylfaen"/>
          <w:sz w:val="24"/>
          <w:szCs w:val="24"/>
        </w:rPr>
        <w:t>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რჩება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სანივთო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</w:t>
      </w:r>
      <w:r>
        <w:rPr>
          <w:rFonts w:ascii="Sylfaen" w:hAnsi="Sylfaen" w:cs="Sylfaen"/>
          <w:sz w:val="24"/>
          <w:szCs w:val="24"/>
        </w:rPr>
        <w:t>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იპოთეკარია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მიკროსაფინანსო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სადაზღვევო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</w:t>
      </w:r>
      <w:r>
        <w:rPr>
          <w:rFonts w:ascii="Sylfaen" w:hAnsi="Sylfaen" w:cs="Sylfaen"/>
          <w:sz w:val="24"/>
          <w:szCs w:val="24"/>
        </w:rPr>
        <w:t>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</w:t>
      </w:r>
      <w:r>
        <w:rPr>
          <w:rFonts w:ascii="Sylfaen" w:hAnsi="Sylfaen" w:cs="Sylfaen"/>
          <w:sz w:val="24"/>
          <w:szCs w:val="24"/>
        </w:rPr>
        <w:t>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წარმოშობილია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რეგისტრაციამდე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რჩება</w:t>
      </w:r>
      <w:r>
        <w:rPr>
          <w:rFonts w:ascii="Sylfaen" w:hAnsi="Sylfaen" w:cs="Sylfaen"/>
          <w:sz w:val="24"/>
          <w:szCs w:val="24"/>
        </w:rPr>
        <w:t>.“;</w:t>
      </w:r>
    </w:p>
    <w:p w14:paraId="3D1E45A0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D61EE41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20. 76-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0FE195E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76.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</w:t>
      </w:r>
      <w:r>
        <w:rPr>
          <w:rFonts w:ascii="Sylfaen" w:hAnsi="Sylfaen" w:cs="Sylfaen"/>
          <w:sz w:val="24"/>
          <w:szCs w:val="24"/>
        </w:rPr>
        <w:tab/>
      </w:r>
    </w:p>
    <w:p w14:paraId="6F1FF83F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შემძენმა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აუქციონად</w:t>
      </w:r>
      <w:r>
        <w:rPr>
          <w:rFonts w:ascii="Sylfaen" w:hAnsi="Sylfaen" w:cs="Sylfaen"/>
          <w:sz w:val="24"/>
          <w:szCs w:val="24"/>
        </w:rPr>
        <w:t>.“.</w:t>
      </w:r>
    </w:p>
    <w:p w14:paraId="38838591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21. 76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28A7EF1B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D8CBA12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>“;</w:t>
      </w:r>
    </w:p>
    <w:p w14:paraId="2ACB2785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</w:t>
      </w:r>
      <w:r>
        <w:rPr>
          <w:rFonts w:ascii="Sylfaen" w:hAnsi="Sylfaen" w:cs="Sylfaen"/>
          <w:sz w:val="24"/>
          <w:szCs w:val="24"/>
        </w:rPr>
        <w:t>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EB7F122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რჩება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სანივთო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მიკროსაფინანსო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სადაზღვევო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</w:t>
      </w:r>
      <w:r>
        <w:rPr>
          <w:rFonts w:ascii="Sylfaen" w:hAnsi="Sylfaen" w:cs="Sylfaen"/>
          <w:sz w:val="24"/>
          <w:szCs w:val="24"/>
        </w:rPr>
        <w:t>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წარმოშო</w:t>
      </w:r>
      <w:r>
        <w:rPr>
          <w:rFonts w:ascii="Sylfaen" w:hAnsi="Sylfaen" w:cs="Sylfaen"/>
          <w:sz w:val="24"/>
          <w:szCs w:val="24"/>
        </w:rPr>
        <w:t>ბილია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რეგისტრაციამდე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რჩება</w:t>
      </w:r>
      <w:r>
        <w:rPr>
          <w:rFonts w:ascii="Sylfaen" w:hAnsi="Sylfaen" w:cs="Sylfaen"/>
          <w:sz w:val="24"/>
          <w:szCs w:val="24"/>
        </w:rPr>
        <w:t>.“;</w:t>
      </w:r>
    </w:p>
    <w:p w14:paraId="01AA7AB3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0431D43C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06A7C5EA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გაიმართება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77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</w:t>
      </w:r>
      <w:r>
        <w:rPr>
          <w:rFonts w:ascii="Sylfaen" w:hAnsi="Sylfaen" w:cs="Sylfaen"/>
          <w:sz w:val="24"/>
          <w:szCs w:val="24"/>
        </w:rPr>
        <w:t>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-2–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D604A62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22. 77-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22127EE1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23. 77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3A9A3244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8871AD7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განმეორებითი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ფასით</w:t>
      </w:r>
      <w:r>
        <w:rPr>
          <w:rFonts w:ascii="Sylfaen" w:hAnsi="Sylfaen" w:cs="Sylfaen"/>
          <w:sz w:val="24"/>
          <w:szCs w:val="24"/>
        </w:rPr>
        <w:t>.</w:t>
      </w:r>
    </w:p>
    <w:p w14:paraId="021D9688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ერთზე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წარმოიშობა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</w:t>
      </w:r>
      <w:r>
        <w:rPr>
          <w:rFonts w:ascii="Sylfaen" w:hAnsi="Sylfaen" w:cs="Sylfaen"/>
          <w:sz w:val="24"/>
          <w:szCs w:val="24"/>
        </w:rPr>
        <w:t>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პროპორციულად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</w:t>
      </w:r>
      <w:r>
        <w:rPr>
          <w:rFonts w:ascii="Sylfaen" w:hAnsi="Sylfaen" w:cs="Sylfaen"/>
          <w:sz w:val="24"/>
          <w:szCs w:val="24"/>
        </w:rPr>
        <w:t>თეკართაგან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იპოთეკარებისაგან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>.“;</w:t>
      </w:r>
    </w:p>
    <w:p w14:paraId="44248C83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492F64C5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>.“;</w:t>
      </w:r>
    </w:p>
    <w:p w14:paraId="3A39A89E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1068113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იპოთეკარისთვის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გადაცემისას</w:t>
      </w:r>
      <w:r>
        <w:rPr>
          <w:rFonts w:ascii="Sylfaen" w:hAnsi="Sylfaen" w:cs="Sylfaen"/>
          <w:sz w:val="24"/>
          <w:szCs w:val="24"/>
        </w:rPr>
        <w:t>:</w:t>
      </w:r>
    </w:p>
    <w:p w14:paraId="0192A147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სანივთო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უქმდება</w:t>
      </w:r>
      <w:r>
        <w:rPr>
          <w:rFonts w:ascii="Sylfaen" w:hAnsi="Sylfaen" w:cs="Sylfaen"/>
          <w:sz w:val="24"/>
          <w:szCs w:val="24"/>
        </w:rPr>
        <w:t>;</w:t>
      </w:r>
    </w:p>
    <w:p w14:paraId="7141DF6E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იპოთეკარია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მიკროსაფინა</w:t>
      </w:r>
      <w:r>
        <w:rPr>
          <w:rFonts w:ascii="Sylfaen" w:hAnsi="Sylfaen" w:cs="Sylfaen"/>
          <w:sz w:val="24"/>
          <w:szCs w:val="24"/>
        </w:rPr>
        <w:t>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სადაზღვევო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უქმდება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</w:t>
      </w:r>
      <w:r>
        <w:rPr>
          <w:rFonts w:ascii="Sylfaen" w:hAnsi="Sylfaen" w:cs="Sylfaen"/>
          <w:sz w:val="24"/>
          <w:szCs w:val="24"/>
        </w:rPr>
        <w:t>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წარმოშობილია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რეგისტრაციამდე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7257979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</w:t>
      </w:r>
      <w:r>
        <w:rPr>
          <w:rFonts w:ascii="Sylfaen" w:hAnsi="Sylfaen" w:cs="Sylfaen"/>
          <w:sz w:val="24"/>
          <w:szCs w:val="24"/>
        </w:rPr>
        <w:t>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რჩება</w:t>
      </w:r>
      <w:r>
        <w:rPr>
          <w:rFonts w:ascii="Sylfaen" w:hAnsi="Sylfaen" w:cs="Sylfaen"/>
          <w:sz w:val="24"/>
          <w:szCs w:val="24"/>
        </w:rPr>
        <w:t>.“.</w:t>
      </w:r>
    </w:p>
    <w:p w14:paraId="43B1D55F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24. 82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853831E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დაგირავებული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</w:t>
      </w:r>
      <w:r>
        <w:rPr>
          <w:rFonts w:ascii="Sylfaen" w:hAnsi="Sylfaen" w:cs="Sylfaen"/>
          <w:sz w:val="24"/>
          <w:szCs w:val="24"/>
        </w:rPr>
        <w:t>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იპოთეკითა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რიგითობის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მიკროსაფინანსო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სადაზღვევო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წარმოიშვა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</w:t>
      </w:r>
      <w:r>
        <w:rPr>
          <w:rFonts w:ascii="Sylfaen" w:hAnsi="Sylfaen" w:cs="Sylfaen"/>
          <w:sz w:val="24"/>
          <w:szCs w:val="24"/>
        </w:rPr>
        <w:t>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6D9D510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მიკროსაფინანსო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სადაზღვევო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გირავნობას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უსწრებს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</w:t>
      </w:r>
      <w:r>
        <w:rPr>
          <w:rFonts w:ascii="Sylfaen" w:hAnsi="Sylfaen" w:cs="Sylfaen"/>
          <w:sz w:val="24"/>
          <w:szCs w:val="24"/>
        </w:rPr>
        <w:t>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მიკროსაფინანსო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სადაზღვევო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</w:t>
      </w:r>
      <w:r>
        <w:rPr>
          <w:rFonts w:ascii="Sylfaen" w:hAnsi="Sylfaen" w:cs="Sylfaen"/>
          <w:sz w:val="24"/>
          <w:szCs w:val="24"/>
        </w:rPr>
        <w:t>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გირავნობით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რეგისტრაციამდე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დაკმაყოფილდებიან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რიგითობის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.“.</w:t>
      </w:r>
    </w:p>
    <w:p w14:paraId="7DCFA55E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25. </w:t>
      </w:r>
      <w:r>
        <w:rPr>
          <w:rFonts w:ascii="Sylfaen" w:hAnsi="Sylfaen" w:cs="Sylfaen"/>
          <w:sz w:val="24"/>
          <w:szCs w:val="24"/>
        </w:rPr>
        <w:t>კანო</w:t>
      </w:r>
      <w:r>
        <w:rPr>
          <w:rFonts w:ascii="Sylfaen" w:hAnsi="Sylfaen" w:cs="Sylfaen"/>
          <w:sz w:val="24"/>
          <w:szCs w:val="24"/>
        </w:rPr>
        <w:t>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90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14:paraId="22081032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90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პერიოდულად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2A620A2F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შესასრულებელი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0E2D7383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გადაწყვეტილებების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00B5122E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წინსწრებით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>.</w:t>
      </w:r>
    </w:p>
    <w:p w14:paraId="3D871AEB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.“.</w:t>
      </w:r>
    </w:p>
    <w:p w14:paraId="032089A9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26. 95-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</w:t>
      </w:r>
      <w:r>
        <w:rPr>
          <w:rFonts w:ascii="Sylfaen" w:hAnsi="Sylfaen" w:cs="Sylfaen"/>
          <w:sz w:val="24"/>
          <w:szCs w:val="24"/>
        </w:rPr>
        <w:t>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124DC0A2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27. 96-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BE3CF16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28. 113-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D8C4D5D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0A80E8D7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აგვისტომდე</w:t>
      </w:r>
      <w:r>
        <w:rPr>
          <w:rFonts w:ascii="Sylfaen" w:hAnsi="Sylfaen" w:cs="Sylfaen"/>
          <w:sz w:val="24"/>
          <w:szCs w:val="24"/>
        </w:rPr>
        <w:t>;</w:t>
      </w:r>
    </w:p>
    <w:p w14:paraId="0E7143EB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აგვისტომდე</w:t>
      </w:r>
      <w:r>
        <w:rPr>
          <w:rFonts w:ascii="Sylfaen" w:hAnsi="Sylfaen" w:cs="Sylfaen"/>
          <w:sz w:val="24"/>
          <w:szCs w:val="24"/>
        </w:rPr>
        <w:t xml:space="preserve">.“;  </w:t>
      </w:r>
    </w:p>
    <w:p w14:paraId="2A47509C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22-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0CEC3A08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„23. 2011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კადასტრის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მექანიკურ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საჰაერო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ხომალდების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ორგანოებმა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პირებმა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ბიუროსთ</w:t>
      </w:r>
      <w:r>
        <w:rPr>
          <w:rFonts w:ascii="Sylfaen" w:hAnsi="Sylfaen" w:cs="Sylfaen"/>
          <w:sz w:val="24"/>
          <w:szCs w:val="24"/>
        </w:rPr>
        <w:t>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</w:t>
      </w:r>
      <w:r>
        <w:rPr>
          <w:rFonts w:ascii="Sylfaen" w:hAnsi="Sylfaen" w:cs="Sylfaen"/>
          <w:sz w:val="24"/>
          <w:szCs w:val="24"/>
        </w:rPr>
        <w:t>.“;</w:t>
      </w:r>
    </w:p>
    <w:p w14:paraId="5D7AF1B6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5097C4C8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„24. 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</w:t>
      </w:r>
      <w:r>
        <w:rPr>
          <w:rFonts w:ascii="Sylfaen" w:hAnsi="Sylfaen" w:cs="Sylfaen"/>
          <w:sz w:val="24"/>
          <w:szCs w:val="24"/>
        </w:rPr>
        <w:t>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14:paraId="69651B8C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25. 2010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დასრულდეს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.“.</w:t>
      </w:r>
    </w:p>
    <w:p w14:paraId="66DEC377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</w:p>
    <w:p w14:paraId="0AFDA4DE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</w:t>
      </w:r>
    </w:p>
    <w:p w14:paraId="3FAA9D0F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</w:t>
      </w:r>
      <w:r>
        <w:rPr>
          <w:rFonts w:ascii="Sylfaen" w:hAnsi="Sylfaen" w:cs="Sylfaen"/>
          <w:sz w:val="24"/>
          <w:szCs w:val="24"/>
        </w:rPr>
        <w:t>.</w:t>
      </w:r>
    </w:p>
    <w:p w14:paraId="0F581C13" w14:textId="77777777" w:rsidR="00000000" w:rsidRDefault="00455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</w:t>
      </w:r>
      <w:r>
        <w:rPr>
          <w:rFonts w:ascii="Sylfaen" w:hAnsi="Sylfaen" w:cs="Sylfaen"/>
          <w:sz w:val="24"/>
          <w:szCs w:val="24"/>
        </w:rPr>
        <w:t>ისტოსთვის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239AD4A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</w:p>
    <w:p w14:paraId="39B9C60D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</w:t>
      </w:r>
    </w:p>
    <w:p w14:paraId="26EFB638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-14–24-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(21.07.2010 N 3542)</w:t>
      </w:r>
    </w:p>
    <w:p w14:paraId="552E3F7C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-15–24-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აგვისტოდან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>(21.07.2010 N 3542)</w:t>
      </w:r>
    </w:p>
    <w:p w14:paraId="6A465A47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</w:t>
      </w:r>
      <w:r>
        <w:rPr>
          <w:rFonts w:ascii="Sylfaen" w:hAnsi="Sylfaen" w:cs="Sylfaen"/>
          <w:sz w:val="24"/>
          <w:szCs w:val="24"/>
        </w:rPr>
        <w:t>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.</w:t>
      </w:r>
    </w:p>
    <w:p w14:paraId="280234A7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>.</w:t>
      </w:r>
    </w:p>
    <w:p w14:paraId="77AAC2DB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</w:p>
    <w:p w14:paraId="6D0243BE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14:paraId="0AEDB75A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</w:p>
    <w:p w14:paraId="5C9FBDC0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14:paraId="773F6895" w14:textId="77777777" w:rsidR="00000000" w:rsidRDefault="00455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0" w:lineRule="atLeast"/>
        <w:ind w:firstLine="71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69C034E" w14:textId="77777777" w:rsidR="00000000" w:rsidRDefault="004551EE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N 3167 – </w:t>
      </w:r>
      <w:r>
        <w:rPr>
          <w:rFonts w:ascii="Sylfaen" w:hAnsi="Sylfaen" w:cs="Sylfaen"/>
        </w:rPr>
        <w:t>რს</w:t>
      </w:r>
    </w:p>
    <w:p w14:paraId="3A37A5D2" w14:textId="77777777" w:rsidR="00000000" w:rsidRDefault="004551EE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20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551EE"/>
    <w:rsid w:val="004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0F76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teqstebi">
    <w:name w:val="teqstebi"/>
    <w:basedOn w:val="Normal"/>
    <w:uiPriority w:val="99"/>
    <w:pPr>
      <w:spacing w:after="0" w:line="288" w:lineRule="auto"/>
      <w:ind w:firstLine="454"/>
      <w:jc w:val="both"/>
    </w:pPr>
    <w:rPr>
      <w:rFonts w:ascii="LitNusx" w:hAnsi="LitNusx" w:cs="LitNusx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3858</Words>
  <Characters>21996</Characters>
  <Application>Microsoft Office Word</Application>
  <DocSecurity>0</DocSecurity>
  <Lines>183</Lines>
  <Paragraphs>51</Paragraphs>
  <ScaleCrop>false</ScaleCrop>
  <Company/>
  <LinksUpToDate>false</LinksUpToDate>
  <CharactersWithSpaces>25803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