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  <w:r>
        <w:rPr>
          <w:rFonts w:ascii="Sylfaen" w:hAnsi="Sylfaen" w:cs="Sylfaen"/>
          <w:sz w:val="24"/>
          <w:szCs w:val="24"/>
          <w:lang w:val="en-US"/>
        </w:rPr>
        <w:t xml:space="preserve">  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ევროჯასტში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ევროჯასტს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5080)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ავთენტურობის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საშუალებებითა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არხებით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მიწოდებ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დადასტურდეს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ორიგინალის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წარდგენით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გადანაწილება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დაესწრონ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მიუხ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ედავად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ჩატარდეს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საპროცე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წყაროებში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გერბიანი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გადაწყვეტი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განჩინების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გამოტანისას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112-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ნაწილითა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color w:val="000000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ადრესატი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აუნაზღაურდებათ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მგზავრობასთან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მოცდენასთან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აუნაზღაურდება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აუნაზღაურდეს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გამოსაძახებელ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გაკეთებული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ოძახების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დაეტოვებინა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ამოიწურა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№380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დაექვემდებარონ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9</w:t>
      </w:r>
      <w:r>
        <w:rPr>
          <w:rFonts w:ascii="Sylfaen" w:hAnsi="Sylfaen" w:cs="Sylfaen"/>
          <w:color w:val="000000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ექსპერტის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გამოძახება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გამოსაკითხ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დასაკითხ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მოწმეს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ექსპერტსა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ხელშეკ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ექსპერტის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ექსპერტის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დადგენას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განსაზღვრუ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ფუნდამენტური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მითითებით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თარჯიმანი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აუდიოსაშუალებით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ექსპერტის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მიეთითება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აიდენტიფიკაციო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დევნისადმი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დასაკითხი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ექსპერტის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მონაცემებისა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აღინიშნოს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მიზეზები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წარმოდგენა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მწარმოებელ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ვიდეოსაშუ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გამოკითხონ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დაკითხონ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მოწმე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ექსპერტი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ევნისადმი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ვიდეოსაშუალებების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დისტანციური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საშუა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აწარმოონ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ფუნდამენტურ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სამართალი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სხვაგვარ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აწესებს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მოქმედებები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კავშირებულია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იძულებასთან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შეზღუდვასთან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სანქციონირებულია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დაესწრონ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უკეთესად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უპასუხებს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სუვერენიტეტს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ასპექტებს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დაირღვეს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ჩხრეკა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დასჯადია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გააჭიანუროს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შეაფერხებს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12</w:t>
      </w:r>
      <w:r>
        <w:rPr>
          <w:rFonts w:ascii="Sylfaen" w:hAnsi="Sylfaen" w:cs="Sylfaen"/>
          <w:color w:val="000000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მოპოვებულ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მტკიცებულებას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მტკიცებულების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სიმძიმე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საზოგადოებრივად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ხასიათი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მსჯავრდებისა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დასჯის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ინტერესი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მიზანშეწონილობას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14</w:t>
      </w:r>
      <w:r>
        <w:rPr>
          <w:rFonts w:ascii="Sylfaen" w:hAnsi="Sylfaen" w:cs="Sylfaen"/>
          <w:color w:val="000000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უამდგომლობა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იგზავნება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წარდგენამდე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განჩინების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გამამტყ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უნებელი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მითითება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;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ქტობრივი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აღწერილობა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მითითებით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 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ზუსტი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ანაბეჭდები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პროცედურებზე</w:t>
      </w:r>
    </w:p>
    <w:p w:rsidR="00000000" w:rsidRDefault="00E91E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დაეტოვებინა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მისჯილი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დასჯადია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19.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მცდელობა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23.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ამნისტია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(01.12.2016. N45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ამნისტირებულია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იურისდიქცია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(01.12.2016. N45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Non bis in idem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გამომრიცხავი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დაისაჯოს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მომთხოვნი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სასტიკ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არაადამიანურ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შემლახავ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სასტიკ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არაადამიანურ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შემლახავ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გასამართლებულ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მიესაჯოს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ტრიბუნალის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სუვერენიტეტს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მაგისტრატ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ტივირებული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206-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(30.03.2021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eastAsia="x-none"/>
          </w:rPr>
          <w:t>მუხლი 32. კოლიზიური თხოვნები</w:t>
        </w:r>
      </w:hyperlink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კოლიზიური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კოლიზიური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გამომგზავნ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კოლიზიური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</w:t>
      </w:r>
      <w:r>
        <w:rPr>
          <w:rFonts w:ascii="Sylfaen" w:hAnsi="Sylfaen" w:cs="Sylfaen"/>
          <w:sz w:val="20"/>
          <w:szCs w:val="20"/>
          <w:lang w:eastAsia="x-none"/>
        </w:rPr>
        <w:t xml:space="preserve">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(30.05.2013 N 671)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აექსტრადიციო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</w:t>
      </w:r>
      <w:r>
        <w:rPr>
          <w:rFonts w:ascii="Sylfaen" w:hAnsi="Sylfaen" w:cs="Sylfaen"/>
          <w:sz w:val="20"/>
          <w:szCs w:val="20"/>
          <w:lang w:eastAsia="x-none"/>
        </w:rPr>
        <w:t xml:space="preserve">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გაუცვალონ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აპირებენ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(20.07.20</w:t>
      </w:r>
      <w:r>
        <w:rPr>
          <w:rFonts w:ascii="Sylfaen" w:hAnsi="Sylfaen" w:cs="Sylfaen"/>
          <w:sz w:val="20"/>
          <w:szCs w:val="20"/>
          <w:lang w:eastAsia="x-none"/>
        </w:rPr>
        <w:t xml:space="preserve">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>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გაცვალონ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აპირებენ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</w:t>
      </w:r>
      <w:r>
        <w:rPr>
          <w:rFonts w:ascii="Sylfaen" w:hAnsi="Sylfaen" w:cs="Sylfaen"/>
          <w:sz w:val="20"/>
          <w:szCs w:val="20"/>
          <w:lang w:eastAsia="x-non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ადიციასთან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დარწმუნდეს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მკაფიოდ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აცნობიერებს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მთხოვნი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შემლახავი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მუქარის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მოტყუების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დვოკატი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იცნობენ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ადაცემა</w:t>
      </w:r>
    </w:p>
    <w:p w:rsidR="00000000" w:rsidRDefault="00E91E4C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2960"/>
          <w:tab w:val="left" w:pos="136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მომთხოვნი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გაიგზავნოს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u w:val="single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IV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u w:val="single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i/>
          <w:iCs/>
          <w:sz w:val="24"/>
          <w:szCs w:val="24"/>
          <w:lang w:val="en-US"/>
        </w:rPr>
      </w:pPr>
    </w:p>
    <w:p w:rsidR="00000000" w:rsidRDefault="00E91E4C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გააჩნიათ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ურისდიქცია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უკეთეს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ამონაწერებს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spacing w:after="0" w:line="240" w:lineRule="auto"/>
        <w:ind w:left="14" w:firstLine="70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გამოსაძიებელ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დასჯადი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დაიწყებს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91E4C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გადაიგზავნა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გააგრძელებენ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გადმოგზავნილ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გადმოგზავნილ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გადმოგზავნილ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გადმოგზავნილ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i/>
          <w:iCs/>
          <w:sz w:val="24"/>
          <w:szCs w:val="24"/>
          <w:lang w:val="en-US"/>
        </w:rPr>
      </w:pP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3138)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კუმენტებს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№3803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მიაღწიეს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გადატვირთულია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მოუხდია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აღმძვრელ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3138)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აიწყო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ნათესავია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3138)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აღმძვრელ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(05.07.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3138)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3138)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VI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47. </w:t>
      </w:r>
      <w:bookmarkStart w:id="0" w:name="part_54"/>
      <w:bookmarkEnd w:id="0"/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ეთხოვა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აღასრულონ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hAnsi="Sylfaen" w:cs="Sylfaen"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გადასაგზავნი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hAnsi="Sylfaen" w:cs="Sylfaen"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უკეთეს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3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3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hAnsi="Sylfaen" w:cs="Sylfaen"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მოისმინოს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გადმოეცა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გადმოცემულმა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დაეტოვებინა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უფარდებს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განსხვავდებოდეს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დაამძიმოს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გადმოგზავნილი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კონვერტაციას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3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3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აგისტრატი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(20.0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7.2018.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№3156)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№3156)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დაექვემდებარებოდა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ფუნდამენტურ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დამძიმდა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ჩასადენად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სიკეთე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XLIV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ჩხრეკა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გადარიცხვების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გადამალავენ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გაანადგურებენ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ჩხრეკის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ჩხრეკის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შემზღუდავი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გამოთქმული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მომპოვებელმა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აღმოსაჩენად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დაირღვეს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დაირღვეს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დაირღვეს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სუვერენიტეტს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გაამართლებდა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შეეწინააღმდეგებოდა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Non bis in idem;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შემზღუდავი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ექნებოდათ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კოლიზიური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კოლიზიური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1E4C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№3156)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აპარაკება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გამოაკლდეს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გასწიეს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1E4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VII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</w:t>
      </w:r>
    </w:p>
    <w:p w:rsidR="00000000" w:rsidRDefault="00E91E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სააკაშვილი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N 3541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E91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1E4C"/>
    <w:rsid w:val="00E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index.php?option=com_ldmssearch&amp;view=docView&amp;id=112594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21088</Words>
  <Characters>120207</Characters>
  <Application>Microsoft Office Word</Application>
  <DocSecurity>0</DocSecurity>
  <Lines>1001</Lines>
  <Paragraphs>282</Paragraphs>
  <ScaleCrop>false</ScaleCrop>
  <Company/>
  <LinksUpToDate>false</LinksUpToDate>
  <CharactersWithSpaces>141013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