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27CA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6F1F5C80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12C9EE7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საბაჟო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კონტროლის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გვერდის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ავლით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მისგან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მალულად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საბაჟო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ტერიტორიაზე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შემოტანილი</w:t>
      </w:r>
      <w:r>
        <w:rPr>
          <w:rFonts w:ascii="Sylfaen" w:hAnsi="Sylfaen" w:cs="Sylfaen"/>
          <w:b/>
          <w:bCs/>
          <w:sz w:val="32"/>
          <w:szCs w:val="32"/>
        </w:rPr>
        <w:t xml:space="preserve">, </w:t>
      </w:r>
      <w:r>
        <w:rPr>
          <w:rFonts w:ascii="Sylfaen" w:hAnsi="Sylfaen" w:cs="Sylfaen"/>
          <w:b/>
          <w:bCs/>
          <w:sz w:val="32"/>
          <w:szCs w:val="32"/>
        </w:rPr>
        <w:t>კეთილსინდისიერად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შეძენილი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მექანიკური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  <w:r>
        <w:rPr>
          <w:rFonts w:ascii="Sylfaen" w:hAnsi="Sylfaen" w:cs="Sylfaen"/>
          <w:b/>
          <w:bCs/>
          <w:sz w:val="32"/>
          <w:szCs w:val="32"/>
        </w:rPr>
        <w:t>სატრანსპორტო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საშუალებების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რეგისტრაციის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წესის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i/>
          <w:iCs/>
        </w:rPr>
        <w:t>(</w:t>
      </w:r>
      <w:r>
        <w:rPr>
          <w:rFonts w:ascii="Sylfaen" w:hAnsi="Sylfaen" w:cs="Sylfaen"/>
          <w:i/>
          <w:iCs/>
        </w:rPr>
        <w:t>სათაური</w:t>
      </w:r>
      <w:r>
        <w:rPr>
          <w:rFonts w:ascii="Sylfaen" w:hAnsi="Sylfaen" w:cs="Sylfaen"/>
          <w:i/>
          <w:iCs/>
        </w:rPr>
        <w:t xml:space="preserve"> (27.03.2012. N5943)</w:t>
      </w:r>
    </w:p>
    <w:p w14:paraId="47D8B5E5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5FC6F1F3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</w:t>
      </w:r>
    </w:p>
    <w:p w14:paraId="6E3CD65C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ზოგადი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</w:t>
      </w:r>
      <w:r>
        <w:rPr>
          <w:rFonts w:ascii="Sylfaen" w:hAnsi="Sylfaen" w:cs="Sylfaen"/>
          <w:b/>
          <w:bCs/>
        </w:rPr>
        <w:t>ულებანი</w:t>
      </w:r>
    </w:p>
    <w:p w14:paraId="2EF87485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14:paraId="0C9AD7C7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1. </w:t>
      </w:r>
      <w:r>
        <w:rPr>
          <w:rFonts w:ascii="Sylfaen" w:hAnsi="Sylfaen" w:cs="Sylfaen"/>
          <w:b/>
          <w:bCs/>
        </w:rPr>
        <w:t>კანონის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მიზანი</w:t>
      </w:r>
      <w:r>
        <w:rPr>
          <w:rFonts w:ascii="Sylfaen" w:hAnsi="Sylfaen" w:cs="Sylfaen"/>
          <w:b/>
          <w:bCs/>
        </w:rPr>
        <w:t xml:space="preserve"> (27.03.2012. N5943)</w:t>
      </w:r>
    </w:p>
    <w:p w14:paraId="2B54AF62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მალულად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</w:t>
      </w:r>
      <w:r>
        <w:rPr>
          <w:rFonts w:ascii="Sylfaen" w:hAnsi="Sylfaen" w:cs="Sylfaen"/>
        </w:rPr>
        <w:t>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მოწესრიგება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ამაღლება</w:t>
      </w:r>
      <w:r>
        <w:rPr>
          <w:rFonts w:ascii="Sylfaen" w:hAnsi="Sylfaen" w:cs="Sylfaen"/>
        </w:rPr>
        <w:t>.</w:t>
      </w:r>
    </w:p>
    <w:p w14:paraId="6AD8FE04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2195E13B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2. </w:t>
      </w:r>
      <w:r>
        <w:rPr>
          <w:rFonts w:ascii="Sylfaen" w:hAnsi="Sylfaen" w:cs="Sylfaen"/>
          <w:b/>
          <w:bCs/>
        </w:rPr>
        <w:t>კანონის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რეგულირების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სფერო</w:t>
      </w:r>
    </w:p>
    <w:p w14:paraId="0DEE5EFE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</w:rPr>
        <w:t xml:space="preserve"> 2012 </w:t>
      </w:r>
      <w:r>
        <w:rPr>
          <w:rFonts w:ascii="Sylfaen" w:hAnsi="Sylfaen" w:cs="Sylfaen"/>
          <w:b/>
          <w:bCs/>
        </w:rPr>
        <w:t>წლის</w:t>
      </w:r>
      <w:r>
        <w:rPr>
          <w:rFonts w:ascii="Sylfaen" w:hAnsi="Sylfaen" w:cs="Sylfaen"/>
          <w:b/>
          <w:bCs/>
        </w:rPr>
        <w:t xml:space="preserve"> 1 </w:t>
      </w:r>
      <w:r>
        <w:rPr>
          <w:rFonts w:ascii="Sylfaen" w:hAnsi="Sylfaen" w:cs="Sylfaen"/>
          <w:b/>
          <w:bCs/>
        </w:rPr>
        <w:t>იანვრიდან</w:t>
      </w:r>
      <w:r>
        <w:rPr>
          <w:rFonts w:ascii="Sylfaen" w:hAnsi="Sylfaen" w:cs="Sylfaen"/>
          <w:b/>
          <w:bCs/>
        </w:rPr>
        <w:t xml:space="preserve">. </w:t>
      </w:r>
    </w:p>
    <w:p w14:paraId="0CBEDF7D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</w:rPr>
        <w:t xml:space="preserve">         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არეგულირებს</w:t>
      </w:r>
      <w:r>
        <w:rPr>
          <w:rFonts w:ascii="Sylfaen" w:hAnsi="Sylfaen" w:cs="Sylfaen"/>
        </w:rPr>
        <w:t xml:space="preserve"> 2007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2009 </w:t>
      </w:r>
      <w:r>
        <w:rPr>
          <w:rFonts w:ascii="Sylfaen" w:hAnsi="Sylfaen" w:cs="Sylfaen"/>
        </w:rPr>
        <w:t>წლებში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რეგისტრაციამდე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რეგისტრაციისას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</w:t>
      </w:r>
      <w:r>
        <w:rPr>
          <w:rFonts w:ascii="Sylfaen" w:hAnsi="Sylfaen" w:cs="Sylfaen"/>
        </w:rPr>
        <w:t>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ჩანაწერის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წარმოშობილ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ზოგიერთ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ურთიერთობას</w:t>
      </w:r>
      <w:r>
        <w:rPr>
          <w:rFonts w:ascii="Sylfaen" w:hAnsi="Sylfaen" w:cs="Sylfaen"/>
        </w:rPr>
        <w:t xml:space="preserve">. </w:t>
      </w:r>
    </w:p>
    <w:p w14:paraId="11906E25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CDE299A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3.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</w:rPr>
        <w:t xml:space="preserve"> 2012 </w:t>
      </w:r>
      <w:r>
        <w:rPr>
          <w:rFonts w:ascii="Sylfaen" w:hAnsi="Sylfaen" w:cs="Sylfaen"/>
          <w:b/>
          <w:bCs/>
        </w:rPr>
        <w:t>წლის</w:t>
      </w:r>
      <w:r>
        <w:rPr>
          <w:rFonts w:ascii="Sylfaen" w:hAnsi="Sylfaen" w:cs="Sylfaen"/>
          <w:b/>
          <w:bCs/>
        </w:rPr>
        <w:t xml:space="preserve"> 1 </w:t>
      </w:r>
      <w:r>
        <w:rPr>
          <w:rFonts w:ascii="Sylfaen" w:hAnsi="Sylfaen" w:cs="Sylfaen"/>
          <w:b/>
          <w:bCs/>
        </w:rPr>
        <w:t>იანვრიდან</w:t>
      </w:r>
      <w:r>
        <w:rPr>
          <w:rFonts w:ascii="Sylfaen" w:hAnsi="Sylfaen" w:cs="Sylfaen"/>
          <w:b/>
          <w:bCs/>
        </w:rPr>
        <w:t xml:space="preserve">. </w:t>
      </w:r>
    </w:p>
    <w:p w14:paraId="21EEE093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4.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</w:rPr>
        <w:t xml:space="preserve"> 2012 </w:t>
      </w:r>
      <w:r>
        <w:rPr>
          <w:rFonts w:ascii="Sylfaen" w:hAnsi="Sylfaen" w:cs="Sylfaen"/>
          <w:b/>
          <w:bCs/>
        </w:rPr>
        <w:t>წლის</w:t>
      </w:r>
      <w:r>
        <w:rPr>
          <w:rFonts w:ascii="Sylfaen" w:hAnsi="Sylfaen" w:cs="Sylfaen"/>
          <w:b/>
          <w:bCs/>
        </w:rPr>
        <w:t xml:space="preserve"> 1 </w:t>
      </w:r>
      <w:r>
        <w:rPr>
          <w:rFonts w:ascii="Sylfaen" w:hAnsi="Sylfaen" w:cs="Sylfaen"/>
          <w:b/>
          <w:bCs/>
        </w:rPr>
        <w:t>იანვრიდან</w:t>
      </w:r>
      <w:r>
        <w:rPr>
          <w:rFonts w:ascii="Sylfaen" w:hAnsi="Sylfaen" w:cs="Sylfaen"/>
          <w:b/>
          <w:bCs/>
        </w:rPr>
        <w:t xml:space="preserve">. </w:t>
      </w:r>
    </w:p>
    <w:p w14:paraId="642A22F8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5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</w:rPr>
        <w:t xml:space="preserve"> 2012 </w:t>
      </w:r>
      <w:r>
        <w:rPr>
          <w:rFonts w:ascii="Sylfaen" w:hAnsi="Sylfaen" w:cs="Sylfaen"/>
          <w:b/>
          <w:bCs/>
        </w:rPr>
        <w:t>წლის</w:t>
      </w:r>
      <w:r>
        <w:rPr>
          <w:rFonts w:ascii="Sylfaen" w:hAnsi="Sylfaen" w:cs="Sylfaen"/>
          <w:b/>
          <w:bCs/>
        </w:rPr>
        <w:t xml:space="preserve"> 1 </w:t>
      </w:r>
      <w:r>
        <w:rPr>
          <w:rFonts w:ascii="Sylfaen" w:hAnsi="Sylfaen" w:cs="Sylfaen"/>
          <w:b/>
          <w:bCs/>
        </w:rPr>
        <w:t>იანვრიდან</w:t>
      </w:r>
      <w:r>
        <w:rPr>
          <w:rFonts w:ascii="Sylfaen" w:hAnsi="Sylfaen" w:cs="Sylfaen"/>
          <w:b/>
          <w:bCs/>
        </w:rPr>
        <w:t xml:space="preserve">. </w:t>
      </w:r>
    </w:p>
    <w:p w14:paraId="3F8C6D71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</w:rPr>
      </w:pPr>
    </w:p>
    <w:p w14:paraId="094F70BB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</w:t>
      </w:r>
    </w:p>
    <w:p w14:paraId="47A45FE5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დაინტერესებული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პირის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მიერ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კეთილსინდისიერად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შეძენილი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მექანიკური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სატრანსპორტო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საშუალების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პირველადი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რეგისტრაციის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წესი</w:t>
      </w:r>
    </w:p>
    <w:p w14:paraId="07FFA33F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75264D33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6.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</w:rPr>
        <w:t xml:space="preserve"> 2012 </w:t>
      </w:r>
      <w:r>
        <w:rPr>
          <w:rFonts w:ascii="Sylfaen" w:hAnsi="Sylfaen" w:cs="Sylfaen"/>
          <w:b/>
          <w:bCs/>
        </w:rPr>
        <w:t>წლის</w:t>
      </w:r>
      <w:r>
        <w:rPr>
          <w:rFonts w:ascii="Sylfaen" w:hAnsi="Sylfaen" w:cs="Sylfaen"/>
          <w:b/>
          <w:bCs/>
        </w:rPr>
        <w:t xml:space="preserve"> 1 </w:t>
      </w:r>
      <w:r>
        <w:rPr>
          <w:rFonts w:ascii="Sylfaen" w:hAnsi="Sylfaen" w:cs="Sylfaen"/>
          <w:b/>
          <w:bCs/>
        </w:rPr>
        <w:t>იანვრიდან</w:t>
      </w:r>
      <w:r>
        <w:rPr>
          <w:rFonts w:ascii="Sylfaen" w:hAnsi="Sylfaen" w:cs="Sylfaen"/>
          <w:b/>
          <w:bCs/>
        </w:rPr>
        <w:t xml:space="preserve">. </w:t>
      </w:r>
    </w:p>
    <w:p w14:paraId="596C88E6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7. </w:t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</w:rPr>
        <w:t xml:space="preserve"> 2012 </w:t>
      </w:r>
      <w:r>
        <w:rPr>
          <w:rFonts w:ascii="Sylfaen" w:hAnsi="Sylfaen" w:cs="Sylfaen"/>
          <w:b/>
          <w:bCs/>
        </w:rPr>
        <w:t>წლის</w:t>
      </w:r>
      <w:r>
        <w:rPr>
          <w:rFonts w:ascii="Sylfaen" w:hAnsi="Sylfaen" w:cs="Sylfaen"/>
          <w:b/>
          <w:bCs/>
        </w:rPr>
        <w:t xml:space="preserve"> 1 </w:t>
      </w:r>
      <w:r>
        <w:rPr>
          <w:rFonts w:ascii="Sylfaen" w:hAnsi="Sylfaen" w:cs="Sylfaen"/>
          <w:b/>
          <w:bCs/>
        </w:rPr>
        <w:t>იანვრიდან</w:t>
      </w:r>
      <w:r>
        <w:rPr>
          <w:rFonts w:ascii="Sylfaen" w:hAnsi="Sylfaen" w:cs="Sylfaen"/>
          <w:b/>
          <w:bCs/>
        </w:rPr>
        <w:t xml:space="preserve">. </w:t>
      </w:r>
    </w:p>
    <w:p w14:paraId="33CCC4A2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center"/>
        <w:rPr>
          <w:rFonts w:ascii="Sylfaen" w:hAnsi="Sylfaen" w:cs="Sylfaen"/>
          <w:b/>
          <w:bCs/>
        </w:rPr>
      </w:pPr>
    </w:p>
    <w:p w14:paraId="51A055F7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III</w:t>
      </w:r>
    </w:p>
    <w:p w14:paraId="0F0EB9C7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გარდამავალი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დასკვნითი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14:paraId="42F9C0FD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026D7E82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lastRenderedPageBreak/>
        <w:t>მუხლი</w:t>
      </w:r>
      <w:r>
        <w:rPr>
          <w:rFonts w:ascii="Sylfaen" w:hAnsi="Sylfaen" w:cs="Sylfaen"/>
          <w:b/>
          <w:bCs/>
        </w:rPr>
        <w:t xml:space="preserve"> 8. </w:t>
      </w:r>
      <w:r>
        <w:rPr>
          <w:rFonts w:ascii="Sylfaen" w:hAnsi="Sylfaen" w:cs="Sylfaen"/>
          <w:b/>
          <w:bCs/>
        </w:rPr>
        <w:t>გარდამავალი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14:paraId="3D9AF77A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კანონთან</w:t>
      </w:r>
      <w:r>
        <w:rPr>
          <w:rFonts w:ascii="Sylfaen" w:hAnsi="Sylfaen" w:cs="Sylfaen"/>
        </w:rPr>
        <w:t xml:space="preserve">. </w:t>
      </w:r>
    </w:p>
    <w:p w14:paraId="7D14CA47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214-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272-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289-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291-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სასაქონლო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გაშვების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დამატებული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აქციზის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სასაქონ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</w:t>
      </w:r>
      <w:r>
        <w:rPr>
          <w:rFonts w:ascii="Sylfaen" w:hAnsi="Sylfaen" w:cs="Sylfaen"/>
        </w:rPr>
        <w:t>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მალულად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  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(27.03.2012. N5943)</w:t>
      </w:r>
    </w:p>
    <w:p w14:paraId="21A0F729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214-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272-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289-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291-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</w:t>
      </w:r>
      <w:r>
        <w:rPr>
          <w:rFonts w:ascii="Sylfaen" w:hAnsi="Sylfaen" w:cs="Sylfaen"/>
        </w:rPr>
        <w:t>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სასაქონლო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გაფორმების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გაშვების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იმპორტის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დამატებული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</w:t>
      </w:r>
      <w:r>
        <w:rPr>
          <w:rFonts w:ascii="Sylfaen" w:hAnsi="Sylfaen" w:cs="Sylfaen"/>
        </w:rPr>
        <w:t>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აქციზის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სასაქონლო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განხორციელდა</w:t>
      </w:r>
      <w:r>
        <w:rPr>
          <w:rFonts w:ascii="Sylfaen" w:hAnsi="Sylfaen" w:cs="Sylfaen"/>
        </w:rPr>
        <w:t xml:space="preserve"> 2007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20</w:t>
      </w:r>
      <w:r>
        <w:rPr>
          <w:rFonts w:ascii="Sylfaen" w:hAnsi="Sylfaen" w:cs="Sylfaen"/>
        </w:rPr>
        <w:t xml:space="preserve">09 </w:t>
      </w:r>
      <w:r>
        <w:rPr>
          <w:rFonts w:ascii="Sylfaen" w:hAnsi="Sylfaen" w:cs="Sylfaen"/>
        </w:rPr>
        <w:t>წლებში</w:t>
      </w:r>
      <w:r>
        <w:rPr>
          <w:rFonts w:ascii="Sylfaen" w:hAnsi="Sylfaen" w:cs="Sylfaen"/>
        </w:rPr>
        <w:t xml:space="preserve">. </w:t>
      </w:r>
    </w:p>
    <w:p w14:paraId="3736B2FE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გათავისუფლდნენ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რომლებმაც</w:t>
      </w:r>
      <w:r>
        <w:rPr>
          <w:rFonts w:ascii="Sylfaen" w:hAnsi="Sylfaen" w:cs="Sylfaen"/>
        </w:rPr>
        <w:t xml:space="preserve"> 2007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 xml:space="preserve">2009 </w:t>
      </w:r>
      <w:r>
        <w:rPr>
          <w:rFonts w:ascii="Sylfaen" w:hAnsi="Sylfaen" w:cs="Sylfaen"/>
        </w:rPr>
        <w:t>წლებში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</w:t>
      </w:r>
      <w:r>
        <w:rPr>
          <w:rFonts w:ascii="Sylfaen" w:hAnsi="Sylfaen" w:cs="Sylfaen"/>
        </w:rPr>
        <w:t>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გარეშე</w:t>
      </w:r>
      <w:r>
        <w:rPr>
          <w:rFonts w:ascii="Sylfaen" w:hAnsi="Sylfaen" w:cs="Sylfaen"/>
        </w:rPr>
        <w:t xml:space="preserve">. </w:t>
      </w:r>
    </w:p>
    <w:p w14:paraId="487D7E9C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ვრცელდება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</w:t>
      </w:r>
      <w:r>
        <w:rPr>
          <w:rFonts w:ascii="Sylfaen" w:hAnsi="Sylfaen" w:cs="Sylfaen"/>
        </w:rPr>
        <w:t>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სანქციები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ამოქმედებამდე</w:t>
      </w:r>
      <w:r>
        <w:rPr>
          <w:rFonts w:ascii="Sylfaen" w:hAnsi="Sylfaen" w:cs="Sylfaen"/>
        </w:rPr>
        <w:t>.</w:t>
      </w:r>
    </w:p>
    <w:p w14:paraId="116EF354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8798A05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9. </w:t>
      </w:r>
      <w:r>
        <w:rPr>
          <w:rFonts w:ascii="Sylfaen" w:hAnsi="Sylfaen" w:cs="Sylfaen"/>
          <w:b/>
          <w:bCs/>
        </w:rPr>
        <w:t>დასკვნითი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14:paraId="19B0DDFA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14:paraId="31407279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-3</w:t>
      </w:r>
      <w:r>
        <w:rPr>
          <w:rFonts w:ascii="Sylfaen" w:hAnsi="Sylfaen" w:cs="Sylfaen"/>
        </w:rPr>
        <w:t>−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მუხლები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2012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იანვრამდე</w:t>
      </w:r>
      <w:r>
        <w:rPr>
          <w:rFonts w:ascii="Sylfaen" w:hAnsi="Sylfaen" w:cs="Sylfaen"/>
        </w:rPr>
        <w:t xml:space="preserve">. </w:t>
      </w:r>
    </w:p>
    <w:p w14:paraId="10745DB5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</w:p>
    <w:p w14:paraId="5B3BA2BF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19DF69DB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2AECC2B0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57F5A264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2011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19 </w:t>
      </w:r>
      <w:r>
        <w:rPr>
          <w:rFonts w:ascii="Sylfaen" w:hAnsi="Sylfaen" w:cs="Sylfaen"/>
        </w:rPr>
        <w:t>აპრილი</w:t>
      </w:r>
      <w:r>
        <w:rPr>
          <w:rFonts w:ascii="Sylfaen" w:hAnsi="Sylfaen" w:cs="Sylfaen"/>
        </w:rPr>
        <w:t>.</w:t>
      </w:r>
    </w:p>
    <w:p w14:paraId="0563C8F9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№4548–I</w:t>
      </w:r>
      <w:r>
        <w:rPr>
          <w:rFonts w:ascii="Sylfaen" w:hAnsi="Sylfaen" w:cs="Sylfaen"/>
        </w:rPr>
        <w:t>ს</w:t>
      </w:r>
    </w:p>
    <w:p w14:paraId="6021A87C" w14:textId="77777777" w:rsidR="00000000" w:rsidRDefault="00C42AC8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720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42AC8"/>
    <w:rsid w:val="00C4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DF78E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mimgebixml">
    <w:name w:val="mimgebi_xml"/>
    <w:basedOn w:val="Normal"/>
    <w:uiPriority w:val="99"/>
    <w:pPr>
      <w:widowControl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customStyle="1" w:styleId="tavixml">
    <w:name w:val="tavi_xml"/>
    <w:basedOn w:val="Normal"/>
    <w:uiPriority w:val="99"/>
    <w:pPr>
      <w:widowControl/>
      <w:spacing w:before="240"/>
      <w:jc w:val="center"/>
    </w:pPr>
    <w:rPr>
      <w:rFonts w:ascii="Sylfaen" w:hAnsi="Sylfaen" w:cs="Sylfaen"/>
      <w:b/>
      <w:bCs/>
      <w:sz w:val="22"/>
      <w:szCs w:val="22"/>
    </w:rPr>
  </w:style>
  <w:style w:type="paragraph" w:customStyle="1" w:styleId="tavisataurixml">
    <w:name w:val="tavi_satauri_xml"/>
    <w:basedOn w:val="Normal"/>
    <w:uiPriority w:val="99"/>
    <w:pPr>
      <w:widowControl/>
      <w:spacing w:after="240"/>
      <w:jc w:val="center"/>
    </w:pPr>
    <w:rPr>
      <w:rFonts w:ascii="Sylfaen" w:hAnsi="Sylfaen" w:cs="Sylfae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PageNumber">
    <w:name w:val="page number"/>
    <w:basedOn w:val="DefaultParagraphFont"/>
    <w:uiPriority w:val="99"/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