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4C5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75BAA11D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13C3D61D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ქარტია</w:t>
      </w:r>
    </w:p>
    <w:p w14:paraId="5AF9E4A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3FC6F8B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(25.12.2013. N1867)</w:t>
      </w:r>
    </w:p>
    <w:p w14:paraId="4F40A14E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ტერორიზმ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თანამედროვე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მიდგომების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განმტკიცება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კომუნისტური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ღვივების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კომუნისტური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საკულტო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ბარელიეფების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წარწერების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ქუჩების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მოედნების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>.</w:t>
      </w:r>
    </w:p>
    <w:p w14:paraId="7D790DD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814EF83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14:paraId="4635388D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02C74966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32578F2B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ნავთობპროდუქტის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ძვირფასი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პურპროდუქტის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641C388B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სასიცოცხლოდაა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29B207C3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შტატიანი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>),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DE08075" w14:textId="77777777" w:rsidR="00000000" w:rsidRDefault="00FD2CEC">
      <w:pPr>
        <w:pStyle w:val="ListParagraph"/>
        <w:tabs>
          <w:tab w:val="left" w:pos="142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left="0" w:firstLine="706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კომუნისტური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ტოტალიტარული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ხასიათდებოდა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მკვლელობებითა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საკონცენტრაციო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ბანაკებში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დასჯით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შიმშილობითა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დეპორტაციით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ნიადაგზე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>(25.12.2</w:t>
      </w:r>
      <w:r>
        <w:rPr>
          <w:rFonts w:ascii="Sylfaen" w:hAnsi="Sylfaen" w:cs="Sylfaen"/>
          <w:lang w:eastAsia="x-none"/>
        </w:rPr>
        <w:t>013. N1867)</w:t>
      </w:r>
    </w:p>
    <w:p w14:paraId="18ACE053" w14:textId="77777777" w:rsidR="00000000" w:rsidRDefault="00FD2CEC">
      <w:pPr>
        <w:pStyle w:val="ListParagraph"/>
        <w:tabs>
          <w:tab w:val="left" w:pos="142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left="0" w:firstLine="706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კომუნისტური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ტოტალიტარული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კომუნისტურ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ტოტალიტარულ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იდეოლოგიასთან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კომუნისტურ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ტოტალიტარულ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>(25.12.2013. N1867)</w:t>
      </w:r>
    </w:p>
    <w:p w14:paraId="3B267F22" w14:textId="77777777" w:rsidR="00000000" w:rsidRDefault="00FD2CEC">
      <w:pPr>
        <w:pStyle w:val="ListParagraph"/>
        <w:tabs>
          <w:tab w:val="left" w:pos="142"/>
          <w:tab w:val="left" w:pos="566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left="0" w:firstLine="706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EE810EB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14:paraId="37DDF1D8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893C99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8A91200" w14:textId="77777777" w:rsidR="00000000" w:rsidRDefault="00FD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ტერორიზმის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წინააღმდეგ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კოორდინაცია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(07.12.2017 N1684)</w:t>
      </w:r>
    </w:p>
    <w:p w14:paraId="49245EAB" w14:textId="77777777" w:rsidR="00000000" w:rsidRDefault="00FD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ქვემდებარეობაში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XXXVIII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XXXVIII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.</w:t>
      </w:r>
    </w:p>
    <w:p w14:paraId="1350A9B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eastAsia="x-none"/>
        </w:rPr>
      </w:pPr>
    </w:p>
    <w:p w14:paraId="188B213B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სტრატეგიული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მნიშვნელოვანი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ტვირთების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მონიტორინგი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(08.07.2015. N3964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C8688C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ტერორისტული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:</w:t>
      </w:r>
    </w:p>
    <w:p w14:paraId="403B45C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ვიდეოდაკვირვების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სისტემით</w:t>
      </w:r>
      <w:r>
        <w:rPr>
          <w:rFonts w:ascii="Sylfaen" w:eastAsia="Times New Roman" w:hAnsi="Sylfaen" w:cs="Sylfaen"/>
          <w:lang w:eastAsia="x-none"/>
        </w:rPr>
        <w:t>;</w:t>
      </w:r>
    </w:p>
    <w:p w14:paraId="3CF03E81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აეროპორტების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საკვანძო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მეტროპოლიტენის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>გურების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ხიდების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თავშეყრის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ვიდეოკამერებით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79AAD95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ვიდეოდაკვირვების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ოკ</w:t>
      </w:r>
      <w:r>
        <w:rPr>
          <w:rFonts w:ascii="Sylfaen" w:eastAsia="Times New Roman" w:hAnsi="Sylfaen" w:cs="Sylfaen"/>
          <w:lang w:eastAsia="x-none"/>
        </w:rPr>
        <w:t>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ვიდეოკამერებით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34021B5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ასაფეთქებელი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</w:t>
      </w:r>
      <w:r>
        <w:rPr>
          <w:rFonts w:ascii="Sylfaen" w:eastAsia="Times New Roman" w:hAnsi="Sylfaen" w:cs="Sylfaen"/>
          <w:lang w:eastAsia="x-none"/>
        </w:rPr>
        <w:t>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საეჭვო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FE0069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60699FDA" w14:textId="77777777" w:rsidR="00000000" w:rsidRDefault="00FD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ტერორიზმის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დაფინანსებისა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უცხოეთიდან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სახსრების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ქონების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მოწოდების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გამოვლენა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აღკვეთა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(30.10.2019 N5239)</w:t>
      </w:r>
    </w:p>
    <w:p w14:paraId="4F265599" w14:textId="77777777" w:rsidR="00000000" w:rsidRDefault="00FD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lastRenderedPageBreak/>
        <w:t>ტერორიზმის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გათეთრების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გათეთრებისა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</w:t>
      </w:r>
      <w:r>
        <w:rPr>
          <w:rFonts w:ascii="Sylfaen" w:eastAsia="Times New Roman" w:hAnsi="Sylfaen" w:cs="Sylfaen"/>
          <w:lang w:val="en-US"/>
        </w:rPr>
        <w:t>.</w:t>
      </w:r>
    </w:p>
    <w:p w14:paraId="0CAE9B8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21919F2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კომისია</w:t>
      </w:r>
    </w:p>
    <w:p w14:paraId="6A93607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XXXVIII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>ამშრომლების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</w:t>
      </w:r>
      <w:r>
        <w:rPr>
          <w:rFonts w:ascii="Sylfaen" w:eastAsia="Times New Roman" w:hAnsi="Sylfaen" w:cs="Sylfaen"/>
          <w:lang w:eastAsia="x-none"/>
        </w:rPr>
        <w:t>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(08.07.2015. N3964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32E902D6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გაუფორმდეთ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(„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“)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>.</w:t>
      </w:r>
    </w:p>
    <w:p w14:paraId="301E8F67" w14:textId="77777777" w:rsidR="00000000" w:rsidRDefault="00FD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მიუთითებს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აგროვებს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ტოტალიტარული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ფაშისტური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საკულტო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მონუმენტების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ბარელიეფების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ქუჩების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მოედნების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თავშეყრის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ტოტალიტარული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ფაშისტური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პროპაგანდის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ლიდერთა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694</w:t>
      </w:r>
      <w:r>
        <w:rPr>
          <w:rFonts w:ascii="Sylfaen" w:hAnsi="Sylfaen" w:cs="Sylfaen"/>
          <w:sz w:val="20"/>
          <w:szCs w:val="20"/>
          <w:lang w:val="en-US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F703D15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</w:t>
      </w:r>
      <w:r>
        <w:rPr>
          <w:rFonts w:ascii="Sylfaen" w:eastAsia="Times New Roman" w:hAnsi="Sylfaen" w:cs="Sylfaen"/>
          <w:lang w:eastAsia="x-none"/>
        </w:rPr>
        <w:t>ომლობდნენ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2FE4203A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მოწოდებული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5DB5237D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კომუნისტური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ბარელიეფების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წარწერების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სახელწოდებების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</w:t>
      </w:r>
      <w:r>
        <w:rPr>
          <w:rFonts w:ascii="Sylfaen" w:eastAsia="Times New Roman" w:hAnsi="Sylfaen" w:cs="Sylfaen"/>
          <w:lang w:eastAsia="x-none"/>
        </w:rPr>
        <w:t>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ფაშისტური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სიმბოლიკა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 (25.12.201</w:t>
      </w:r>
      <w:r>
        <w:rPr>
          <w:rFonts w:ascii="Sylfaen" w:eastAsia="Times New Roman" w:hAnsi="Sylfaen" w:cs="Sylfaen"/>
          <w:lang w:eastAsia="x-none"/>
        </w:rPr>
        <w:t>3. N1867)</w:t>
      </w:r>
    </w:p>
    <w:p w14:paraId="091F6B20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უკავიათ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</w:t>
      </w:r>
      <w:r>
        <w:rPr>
          <w:rFonts w:ascii="Sylfaen" w:eastAsia="Times New Roman" w:hAnsi="Sylfaen" w:cs="Sylfaen"/>
          <w:lang w:eastAsia="x-none"/>
        </w:rPr>
        <w:t>ოფლობით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155D4FA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7C5161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EECCC6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შეზღუდვები</w:t>
      </w:r>
    </w:p>
    <w:p w14:paraId="7D69EAF8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:</w:t>
      </w:r>
    </w:p>
    <w:p w14:paraId="636839B5" w14:textId="77777777" w:rsidR="00000000" w:rsidRDefault="00FD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მინისტრების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</w:t>
      </w:r>
      <w:r>
        <w:rPr>
          <w:rFonts w:ascii="Sylfaen" w:eastAsia="Times New Roman" w:hAnsi="Sylfaen" w:cs="Sylfaen"/>
          <w:lang w:val="en-US"/>
        </w:rPr>
        <w:t>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ადგილეს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სრულუფლებიან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ელჩებს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დესპანებს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კონსულებს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ვიცე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პრეზიდენტებს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</w:t>
      </w:r>
      <w:r>
        <w:rPr>
          <w:rFonts w:ascii="Sylfaen" w:eastAsia="Times New Roman" w:hAnsi="Sylfaen" w:cs="Sylfaen"/>
          <w:lang w:val="en-US"/>
        </w:rPr>
        <w:t>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რწმუნებულებს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საქსტატის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</w:t>
      </w:r>
      <w:r>
        <w:rPr>
          <w:rFonts w:ascii="Sylfaen" w:eastAsia="Times New Roman" w:hAnsi="Sylfaen" w:cs="Sylfaen"/>
          <w:lang w:val="en-US"/>
        </w:rPr>
        <w:t>ქტორსა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(2.04.2019 N4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404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307ABA48" w14:textId="77777777" w:rsidR="00000000" w:rsidRDefault="00FD2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</w:t>
      </w:r>
      <w:r>
        <w:rPr>
          <w:rFonts w:ascii="Sylfaen" w:eastAsia="Times New Roman" w:hAnsi="Sylfaen" w:cs="Sylfaen"/>
          <w:lang w:val="en-US"/>
        </w:rPr>
        <w:t>სახურეებს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(2.04.2019 N4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404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6F493AB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675E612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რექტორებს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პრორექტორებს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დეკანებს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კათედრების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AC2444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9C21E3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თანამდებობრივი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გავრცელების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პირები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რომლებზედაც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ვრცელდება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14:paraId="270E6705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ომლებიც</w:t>
      </w:r>
      <w:r>
        <w:rPr>
          <w:rFonts w:ascii="Sylfaen" w:eastAsia="Times New Roman" w:hAnsi="Sylfaen" w:cs="Sylfaen"/>
          <w:lang w:eastAsia="x-none"/>
        </w:rPr>
        <w:t xml:space="preserve"> 1921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 xml:space="preserve">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>:</w:t>
      </w:r>
    </w:p>
    <w:p w14:paraId="6E92FD76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(1991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): </w:t>
      </w:r>
    </w:p>
    <w:p w14:paraId="18127F1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</w:t>
      </w:r>
      <w:r>
        <w:rPr>
          <w:rFonts w:ascii="Sylfaen" w:eastAsia="Times New Roman" w:hAnsi="Sylfaen" w:cs="Sylfaen"/>
          <w:lang w:eastAsia="x-none"/>
        </w:rPr>
        <w:t>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8A3876E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გარიცხულ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აპარატიდან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48F3F28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გაწყვიტეს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1676C43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(1991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</w:t>
      </w:r>
      <w:r>
        <w:rPr>
          <w:rFonts w:ascii="Sylfaen" w:eastAsia="Times New Roman" w:hAnsi="Sylfaen" w:cs="Sylfaen"/>
          <w:lang w:eastAsia="x-none"/>
        </w:rPr>
        <w:t>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65522DEC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-9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პუნქტის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გ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დ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ქვეპუნქტები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კონსტიტუციის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-17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პირველ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პუნქტთან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მიმართებით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28.10.2015 N 2/5/560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CB89C90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-9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პუნქტის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გ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და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დ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“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ქვეპუნქტები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კონსტიტუციის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-17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პირველ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პუნქტთან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მიმართებით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28.10.2015 N 2/5/560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გადაწყვ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ეტილებით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15B1461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ტელერადიომაუწყებლობის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>.</w:t>
      </w:r>
    </w:p>
    <w:p w14:paraId="4E29C5CC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1991 </w:t>
      </w:r>
      <w:r>
        <w:rPr>
          <w:rFonts w:ascii="Sylfaen" w:eastAsia="Times New Roman" w:hAnsi="Sylfaen" w:cs="Sylfaen"/>
          <w:lang w:eastAsia="x-none"/>
        </w:rPr>
        <w:t>წლი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339606FD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D96F69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ყოფილი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სსრკ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თანამშრომლები</w:t>
      </w:r>
    </w:p>
    <w:p w14:paraId="437FFC0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მიეკუთვნებიან</w:t>
      </w:r>
      <w:r>
        <w:rPr>
          <w:rFonts w:ascii="Sylfaen" w:eastAsia="Times New Roman" w:hAnsi="Sylfaen" w:cs="Sylfaen"/>
          <w:lang w:eastAsia="x-none"/>
        </w:rPr>
        <w:t>:</w:t>
      </w:r>
    </w:p>
    <w:p w14:paraId="1FF3FF85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6E9E518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4AAA9B6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განყოფილებები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შტაბის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სამმართველო</w:t>
      </w:r>
      <w:r>
        <w:rPr>
          <w:rFonts w:ascii="Sylfaen" w:eastAsia="Times New Roman" w:hAnsi="Sylfaen" w:cs="Sylfaen"/>
          <w:lang w:eastAsia="x-none"/>
        </w:rPr>
        <w:t>;</w:t>
      </w:r>
    </w:p>
    <w:p w14:paraId="0E19C0AD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0D016E0A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AE72A2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კომისიიდან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აუცილებლობა</w:t>
      </w:r>
    </w:p>
    <w:p w14:paraId="61492708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</w:t>
      </w:r>
      <w:r>
        <w:rPr>
          <w:rFonts w:ascii="Sylfaen" w:eastAsia="Times New Roman" w:hAnsi="Sylfaen" w:cs="Sylfaen"/>
          <w:lang w:eastAsia="x-none"/>
        </w:rPr>
        <w:t>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არჩევას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არჩევაზე</w:t>
      </w:r>
      <w:r>
        <w:rPr>
          <w:rFonts w:ascii="Sylfaen" w:eastAsia="Times New Roman" w:hAnsi="Sylfaen" w:cs="Sylfaen"/>
          <w:lang w:eastAsia="x-none"/>
        </w:rPr>
        <w:t xml:space="preserve">). </w:t>
      </w:r>
    </w:p>
    <w:p w14:paraId="4E6B4A5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დაადგენს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050F4BFD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6E2E9B9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ყოფილი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სსრკ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ნებაყოფლობითი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აღიარება</w:t>
      </w:r>
    </w:p>
    <w:p w14:paraId="3A2D3C9E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6</w:t>
      </w:r>
      <w:r>
        <w:rPr>
          <w:rFonts w:ascii="Sylfaen" w:hAnsi="Sylfaen" w:cs="Sylfaen"/>
          <w:color w:val="FF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747B4E2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>აობა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სსრკ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3971A5A0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57EBD05A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განცხა</w:t>
      </w:r>
      <w:r>
        <w:rPr>
          <w:rFonts w:ascii="Sylfaen" w:eastAsia="Times New Roman" w:hAnsi="Sylfaen" w:cs="Sylfaen"/>
          <w:lang w:eastAsia="x-none"/>
        </w:rPr>
        <w:t>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0CA4F5C0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F746D31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13.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14:paraId="208DAB3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5EF5D6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AE06B73" w14:textId="77777777" w:rsidR="00000000" w:rsidRDefault="00FD2CEC">
      <w:pPr>
        <w:pStyle w:val="ListParagraph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40" w:lineRule="auto"/>
        <w:ind w:left="0"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</w:t>
      </w:r>
      <w:r>
        <w:rPr>
          <w:rFonts w:ascii="Sylfaen" w:hAnsi="Sylfaen" w:cs="Sylfaen"/>
          <w:b/>
          <w:bCs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დავა</w:t>
      </w:r>
      <w:r>
        <w:rPr>
          <w:rFonts w:ascii="Sylfaen" w:hAnsi="Sylfaen" w:cs="Sylfaen"/>
          <w:sz w:val="24"/>
          <w:szCs w:val="24"/>
          <w:lang w:eastAsia="x-none"/>
        </w:rPr>
        <w:t xml:space="preserve"> (25.12.2013. N1867)</w:t>
      </w:r>
    </w:p>
    <w:p w14:paraId="0E870BF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22-</w:t>
      </w:r>
      <w:r>
        <w:rPr>
          <w:rFonts w:ascii="Sylfaen" w:eastAsia="Times New Roman" w:hAnsi="Sylfaen" w:cs="Sylfaen"/>
          <w:lang w:eastAsia="x-none"/>
        </w:rPr>
        <w:t>ე−</w:t>
      </w:r>
      <w:r>
        <w:rPr>
          <w:rFonts w:ascii="Sylfaen" w:eastAsia="Times New Roman" w:hAnsi="Sylfaen" w:cs="Sylfaen"/>
          <w:lang w:eastAsia="x-none"/>
        </w:rPr>
        <w:t>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DE3FACB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E1930A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076D9BFE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</w:t>
      </w:r>
      <w:r>
        <w:rPr>
          <w:rFonts w:ascii="Sylfaen" w:eastAsia="Times New Roman" w:hAnsi="Sylfaen" w:cs="Sylfaen"/>
          <w:lang w:eastAsia="x-none"/>
        </w:rPr>
        <w:t>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გადადგნენ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30620C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6D23A93C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“;</w:t>
      </w:r>
    </w:p>
    <w:p w14:paraId="0C205F2E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14:paraId="50F02F4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</w:p>
    <w:p w14:paraId="29522F74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უფროსმა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(08.07.2015. N3964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50F33042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1C8F39E2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14:paraId="3DAC47C7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მუხლისა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154A6B5F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6305D953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26F3FBB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</w:t>
      </w:r>
      <w:r>
        <w:rPr>
          <w:rFonts w:ascii="Sylfaen" w:eastAsia="Times New Roman" w:hAnsi="Sylfaen" w:cs="Sylfaen"/>
          <w:lang w:eastAsia="x-none"/>
        </w:rPr>
        <w:t>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30ECEF6E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CAA2A9A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77310F0A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მაისი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301ADC35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№4717-I</w:t>
      </w:r>
      <w:r>
        <w:rPr>
          <w:rFonts w:ascii="Sylfaen" w:eastAsia="Times New Roman" w:hAnsi="Sylfaen" w:cs="Sylfaen"/>
          <w:lang w:eastAsia="x-none"/>
        </w:rPr>
        <w:t>ს</w:t>
      </w:r>
    </w:p>
    <w:p w14:paraId="117EB48C" w14:textId="77777777" w:rsidR="00000000" w:rsidRDefault="00FD2CE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36729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2CEC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CF67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