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ჰუმანიზმის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სისხლისსამართლებრი</w:t>
      </w:r>
      <w:r>
        <w:rPr>
          <w:rFonts w:ascii="Sylfaen" w:hAnsi="Sylfaen" w:cs="Sylfaen"/>
        </w:rPr>
        <w:t>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№41(48),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209)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ჩამდენ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>.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8A7AD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(25.05.2012 N 6317)</w:t>
      </w:r>
    </w:p>
    <w:p w:rsidR="00000000" w:rsidRDefault="008A7AD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დეკემბრამდე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სერვისების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საზღვარგარეთ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დიპლომატიურ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</w:t>
      </w:r>
      <w:r>
        <w:rPr>
          <w:rFonts w:ascii="Sylfaen" w:hAnsi="Sylfaen" w:cs="Sylfaen"/>
        </w:rPr>
        <w:t>ადგენლობაში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339-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362-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</w:t>
      </w:r>
      <w:r>
        <w:rPr>
          <w:rFonts w:ascii="Sylfaen" w:hAnsi="Sylfaen" w:cs="Sylfaen"/>
        </w:rPr>
        <w:t>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ყალბი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ბინადრობის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სოციალისტური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სამგზავრო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t>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შეძენასთან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გასაღებასთან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მართლსაწინააღმდეგო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მისაკუთრებასთან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გადამალვასთან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განადგურებასთან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დაზიანებასთან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ყალბი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შეტანასთან</w:t>
      </w:r>
      <w:r>
        <w:rPr>
          <w:rFonts w:ascii="Sylfaen" w:hAnsi="Sylfaen" w:cs="Sylfaen"/>
        </w:rPr>
        <w:t xml:space="preserve">. </w:t>
      </w:r>
    </w:p>
    <w:p w:rsidR="00000000" w:rsidRDefault="008A7AD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შენი</w:t>
      </w:r>
      <w:r>
        <w:rPr>
          <w:rFonts w:ascii="Sylfaen" w:hAnsi="Sylfaen" w:cs="Sylfaen"/>
          <w:b/>
          <w:bCs/>
        </w:rPr>
        <w:t>შვნა</w:t>
      </w:r>
      <w:r>
        <w:rPr>
          <w:rFonts w:ascii="Sylfaen" w:hAnsi="Sylfaen" w:cs="Sylfaen"/>
          <w:b/>
          <w:bCs/>
        </w:rPr>
        <w:t>: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ნათესავში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იგულისხმება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</w:t>
      </w:r>
      <w:r>
        <w:rPr>
          <w:rFonts w:ascii="Sylfaen" w:hAnsi="Sylfaen" w:cs="Sylfaen"/>
        </w:rPr>
        <w:t>“.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 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ჩაიდინა</w:t>
      </w:r>
      <w:r>
        <w:rPr>
          <w:rFonts w:ascii="Sylfaen" w:hAnsi="Sylfaen" w:cs="Sylfaen"/>
        </w:rPr>
        <w:t xml:space="preserve"> 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ყალბი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არასწორი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მომენტისათვი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</w:t>
      </w:r>
      <w:r>
        <w:rPr>
          <w:rFonts w:ascii="Sylfaen" w:hAnsi="Sylfaen" w:cs="Sylfaen"/>
        </w:rPr>
        <w:t xml:space="preserve">. 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 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</w:t>
      </w:r>
      <w:r>
        <w:rPr>
          <w:rFonts w:ascii="Sylfaen" w:hAnsi="Sylfaen" w:cs="Sylfaen"/>
        </w:rPr>
        <w:t>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დეკემბრის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ჩამდენმა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.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 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>.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Arial Unicode MS" w:hAnsi="Arial Unicode MS" w:cs="Arial Unicode MS"/>
        </w:rPr>
        <w:t>​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ab/>
        <w:t xml:space="preserve">  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14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>.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№4753–I</w:t>
      </w:r>
      <w:r>
        <w:rPr>
          <w:rFonts w:ascii="Sylfaen" w:hAnsi="Sylfaen" w:cs="Sylfaen"/>
        </w:rPr>
        <w:t>ს</w:t>
      </w:r>
    </w:p>
    <w:p w:rsidR="00000000" w:rsidRDefault="008A7AD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133799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A7AD5"/>
    <w:rsid w:val="008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pPr>
      <w:jc w:val="left"/>
    </w:pPr>
    <w:rPr>
      <w:sz w:val="22"/>
      <w:szCs w:val="22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</w:rPr>
  </w:style>
  <w:style w:type="character" w:customStyle="1" w:styleId="CharChar3">
    <w:name w:val="Char Char3"/>
    <w:basedOn w:val="DefaultParagraphFon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2">
    <w:name w:val="Char Char2"/>
    <w:basedOn w:val="DefaultParagraphFont"/>
    <w:uiPriority w:val="99"/>
    <w:rPr>
      <w:sz w:val="20"/>
      <w:szCs w:val="20"/>
    </w:rPr>
  </w:style>
  <w:style w:type="character" w:customStyle="1" w:styleId="CharChar1">
    <w:name w:val="Char Char1"/>
    <w:basedOn w:val="CharChar2"/>
    <w:uiPriority w:val="99"/>
    <w:rPr>
      <w:b/>
      <w:bCs/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</w:style>
  <w:style w:type="paragraph" w:customStyle="1" w:styleId="Body1">
    <w:name w:val="Body 1"/>
    <w:basedOn w:val="Normal0"/>
    <w:uiPriority w:val="99"/>
    <w:pPr>
      <w:widowControl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