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ელექტროენერგეტიკისა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ბუნებრივი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rPr>
          <w:rFonts w:ascii="Sylfaen" w:hAnsi="Sylfaen" w:cs="Sylfaen"/>
          <w:sz w:val="24"/>
          <w:szCs w:val="24"/>
        </w:rPr>
      </w:pP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„</w:t>
      </w:r>
      <w:r>
        <w:rPr>
          <w:rFonts w:ascii="Sylfaen" w:hAnsi="Sylfaen" w:cs="Sylfaen"/>
          <w:sz w:val="24"/>
          <w:szCs w:val="24"/>
        </w:rPr>
        <w:t>ელექტროენერგეტიკისა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N33, 31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დამატებები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120A">
      <w:pPr>
        <w:pStyle w:val="ListParagraph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120A">
      <w:pPr>
        <w:pStyle w:val="ListParagraph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u w:val="single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წყალმომარაგება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ექსპლუატაცია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</w:t>
      </w:r>
      <w:r>
        <w:rPr>
          <w:rFonts w:ascii="Sylfaen" w:hAnsi="Sylfaen" w:cs="Sylfaen"/>
          <w:sz w:val="24"/>
          <w:szCs w:val="24"/>
        </w:rPr>
        <w:t>ალარინება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20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21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position w:val="6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Sylfaen" w:hAnsi="Sylfaen" w:cs="Sylfaen"/>
          <w:position w:val="6"/>
          <w:sz w:val="24"/>
          <w:szCs w:val="24"/>
        </w:rPr>
        <w:t>21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ღამეში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</w:t>
      </w:r>
      <w:r>
        <w:rPr>
          <w:rFonts w:ascii="Sylfaen" w:hAnsi="Sylfaen" w:cs="Sylfaen"/>
          <w:sz w:val="24"/>
          <w:szCs w:val="24"/>
        </w:rPr>
        <w:t xml:space="preserve">;“. 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       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3120A">
      <w:pPr>
        <w:pStyle w:val="ListParagraph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pStyle w:val="ListParagraph"/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დადგენილებას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საქმისწარმოების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მიწოდებისა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ტარიფების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მეთოდოლოგია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ტარიფ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ზღვრული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დანაკარგების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გაანგარიშების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4. 43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</w:t>
      </w:r>
      <w:r>
        <w:rPr>
          <w:rFonts w:ascii="Sylfaen" w:hAnsi="Sylfaen" w:cs="Sylfaen"/>
          <w:sz w:val="24"/>
          <w:szCs w:val="24"/>
        </w:rPr>
        <w:t>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43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</w:t>
      </w:r>
    </w:p>
    <w:p w:rsidR="00000000" w:rsidRDefault="00A312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12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</w:t>
      </w:r>
      <w:r>
        <w:rPr>
          <w:rFonts w:ascii="Sylfaen" w:hAnsi="Sylfaen" w:cs="Sylfaen"/>
          <w:sz w:val="24"/>
          <w:szCs w:val="24"/>
        </w:rPr>
        <w:t>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წყალარინებაზე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   </w:t>
      </w:r>
      <w:r>
        <w:rPr>
          <w:rFonts w:ascii="Sylfaen" w:hAnsi="Sylfaen" w:cs="Sylfaen"/>
          <w:sz w:val="24"/>
          <w:szCs w:val="24"/>
        </w:rPr>
        <w:t>განცალკევებულად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12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სატარიფო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ტარიფები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VII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„</w:t>
      </w:r>
      <w:r>
        <w:rPr>
          <w:rFonts w:ascii="Sylfaen" w:hAnsi="Sylfaen" w:cs="Sylfaen"/>
          <w:sz w:val="24"/>
          <w:szCs w:val="24"/>
        </w:rPr>
        <w:t>ელექტროენერგიის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გამანაწილებელ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დაშვება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მიერთება</w:t>
      </w:r>
      <w:r>
        <w:rPr>
          <w:rFonts w:ascii="Sylfaen" w:hAnsi="Sylfaen" w:cs="Sylfaen"/>
          <w:sz w:val="24"/>
          <w:szCs w:val="24"/>
        </w:rPr>
        <w:t>“.</w:t>
      </w:r>
    </w:p>
    <w:p w:rsidR="00000000" w:rsidRDefault="00A3120A">
      <w:pPr>
        <w:pStyle w:val="ListParagraph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Sylfaen" w:hAnsi="Sylfaen" w:cs="Sylfaen"/>
          <w:sz w:val="24"/>
          <w:szCs w:val="24"/>
        </w:rPr>
      </w:pPr>
    </w:p>
    <w:p w:rsidR="00000000" w:rsidRDefault="00A3120A">
      <w:pPr>
        <w:pStyle w:val="ListParagraph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6. 46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46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46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3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ელექტროენერგიის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გადამცემ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გამანაწილებელ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გამანაწილებელ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მიერთები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აუნაზღაურდება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ლიცენზიატს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46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საცალო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აშენება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საცალო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აშენებ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დასაშვებია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ელექტროსადგურის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მცირე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სიმძლავრის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ელექტროსადგურმა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მიმწოდებელმა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color w:val="FF0000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მიერთებას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მომხმარებელი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120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კომისიამ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2011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იანვრამდ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წყალმომარაგების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ამოღებულია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(21.06.2011 N 4866)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sz w:val="24"/>
          <w:szCs w:val="24"/>
        </w:rPr>
        <w:t xml:space="preserve">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A3120A">
      <w:pPr>
        <w:pStyle w:val="teqsteb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3162 – </w:t>
      </w:r>
      <w:r>
        <w:rPr>
          <w:rFonts w:ascii="Sylfaen" w:hAnsi="Sylfaen" w:cs="Sylfaen"/>
        </w:rPr>
        <w:t>რს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A31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3120A"/>
    <w:rsid w:val="00A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AcadNusx" w:hAnsi="AcadNusx" w:cs="AcadNusx"/>
    </w:rPr>
  </w:style>
  <w:style w:type="paragraph" w:customStyle="1" w:styleId="teqstebi">
    <w:name w:val="teqstebi"/>
    <w:basedOn w:val="Normal"/>
    <w:uiPriority w:val="99"/>
    <w:pPr>
      <w:spacing w:after="0" w:line="288" w:lineRule="auto"/>
      <w:ind w:firstLine="454"/>
      <w:jc w:val="both"/>
    </w:pPr>
    <w:rPr>
      <w:rFonts w:ascii="LitNusx" w:hAnsi="LitNusx" w:cs="LitNusx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2022-08-16T16:56:00Z</dcterms:created>
  <dcterms:modified xsi:type="dcterms:W3CDTF">2022-08-16T16:56:00Z</dcterms:modified>
</cp:coreProperties>
</file>