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E4CB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569182A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1BD0C3A0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32ED85BA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eastAsia="x-none"/>
        </w:rPr>
      </w:pPr>
    </w:p>
    <w:p w14:paraId="5D2FF7AD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დღევანდელი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43D9027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ხალხის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კეთილდღეობისა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სტაბილურ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ზრდას</w:t>
      </w:r>
      <w:r>
        <w:rPr>
          <w:rFonts w:ascii="Sylfaen" w:eastAsia="Times New Roman" w:hAnsi="Sylfaen" w:cs="Sylfaen"/>
          <w:lang w:eastAsia="x-none"/>
        </w:rPr>
        <w:t>.</w:t>
      </w:r>
    </w:p>
    <w:p w14:paraId="18CFD5A7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გამოიხატება</w:t>
      </w:r>
      <w:r>
        <w:rPr>
          <w:rStyle w:val="apple-style-span"/>
          <w:rFonts w:ascii="Sylfae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მთავრობის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მცირე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ზომაში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, </w:t>
      </w:r>
      <w:r>
        <w:rPr>
          <w:rStyle w:val="apple-style-span"/>
          <w:rFonts w:ascii="Sylfaen" w:eastAsia="Times New Roman" w:hAnsi="Sylfaen" w:cs="Sylfaen"/>
          <w:lang w:eastAsia="x-none"/>
        </w:rPr>
        <w:t>პასუხისმგებლობიან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მაკროეკონომიკურ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პოლიტიკასა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და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და</w:t>
      </w:r>
      <w:r>
        <w:rPr>
          <w:rStyle w:val="apple-style-span"/>
          <w:rFonts w:ascii="Sylfaen" w:eastAsia="Times New Roman" w:hAnsi="Sylfaen" w:cs="Sylfaen"/>
          <w:lang w:eastAsia="x-none"/>
        </w:rPr>
        <w:t>ბალ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 </w:t>
      </w:r>
      <w:r>
        <w:rPr>
          <w:rStyle w:val="apple-style-span"/>
          <w:rFonts w:ascii="Sylfaen" w:eastAsia="Times New Roman" w:hAnsi="Sylfaen" w:cs="Sylfaen"/>
          <w:lang w:eastAsia="x-none"/>
        </w:rPr>
        <w:t>გადასახადებში</w:t>
      </w:r>
      <w:r>
        <w:rPr>
          <w:rStyle w:val="apple-style-span"/>
          <w:rFonts w:ascii="Sylfaen" w:eastAsia="Times New Roman" w:hAnsi="Sylfaen" w:cs="Sylfaen"/>
          <w:lang w:eastAsia="x-none"/>
        </w:rPr>
        <w:t xml:space="preserve">. </w:t>
      </w:r>
    </w:p>
    <w:p w14:paraId="784424F5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eastAsia="x-none"/>
        </w:rPr>
      </w:pPr>
    </w:p>
    <w:p w14:paraId="694ABB2B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მოქალაქეთა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გადასახადების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დადგენაში</w:t>
      </w:r>
    </w:p>
    <w:p w14:paraId="72FB5DAC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ალტერნატივაა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ანაცვლებს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N3385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04595C2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N3385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88EFA21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201ECF35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საშემოსავლო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</w:t>
      </w:r>
      <w:r>
        <w:rPr>
          <w:rFonts w:ascii="Sylfaen" w:eastAsia="Times New Roman" w:hAnsi="Sylfaen" w:cs="Sylfaen"/>
          <w:lang w:eastAsia="x-none"/>
        </w:rPr>
        <w:t>;</w:t>
      </w:r>
    </w:p>
    <w:p w14:paraId="58FFEA9C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</w:t>
      </w:r>
      <w:r>
        <w:rPr>
          <w:rFonts w:ascii="Sylfaen" w:eastAsia="Times New Roman" w:hAnsi="Sylfaen" w:cs="Sylfaen"/>
          <w:lang w:eastAsia="x-none"/>
        </w:rPr>
        <w:t>;</w:t>
      </w:r>
    </w:p>
    <w:p w14:paraId="6CD85203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სახადი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დღგ</w:t>
      </w:r>
      <w:r>
        <w:rPr>
          <w:rFonts w:ascii="Sylfaen" w:eastAsia="Times New Roman" w:hAnsi="Sylfaen" w:cs="Sylfaen"/>
          <w:lang w:eastAsia="x-none"/>
        </w:rPr>
        <w:t>);</w:t>
      </w:r>
    </w:p>
    <w:p w14:paraId="41CF3A25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5F67D6D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აქციზი</w:t>
      </w:r>
      <w:r>
        <w:rPr>
          <w:rFonts w:ascii="Sylfaen" w:eastAsia="Times New Roman" w:hAnsi="Sylfaen" w:cs="Sylfaen"/>
          <w:lang w:eastAsia="x-none"/>
        </w:rPr>
        <w:t>.</w:t>
      </w:r>
    </w:p>
    <w:p w14:paraId="1C368C3A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3.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3AE4770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FF780A1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პროგრესულობის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>.</w:t>
      </w:r>
    </w:p>
    <w:p w14:paraId="550EA4E3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DD870CF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36C6E98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მაკროეკონომიკური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პარამეტრების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ზღვრების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(14.12.2018 N4019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1DB9C4D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მაკროეკონომიკური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სტაბილურობის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მაკროეკონომიკური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71082311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დეფიციტის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0362EFF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9B5D52A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FBF6EA4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E04873C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EC4D3CD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FFE327E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5E3EF80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467F8A2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3BA57B6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EC3BA82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5D6DB74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3EADBCE5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დამდგარ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A34692C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7B37781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AFC6461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eastAsia="x-none"/>
        </w:rPr>
      </w:pPr>
    </w:p>
    <w:p w14:paraId="3FA3D93F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უნივერსალობის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(15.07.2020 N 685</w:t>
      </w:r>
      <w:r>
        <w:rPr>
          <w:rFonts w:ascii="Sylfaen" w:hAnsi="Sylfaen" w:cs="Sylfaen"/>
          <w:sz w:val="20"/>
          <w:szCs w:val="20"/>
          <w:lang w:val="en-US"/>
        </w:rPr>
        <w:t>6)</w:t>
      </w:r>
    </w:p>
    <w:p w14:paraId="0BD2110B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4E48D98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F18B558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1F1C27E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eastAsia="x-none"/>
        </w:rPr>
      </w:pPr>
    </w:p>
    <w:p w14:paraId="02BF273B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კაპიტალის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მოძრაობის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თავისუფლება</w:t>
      </w:r>
    </w:p>
    <w:p w14:paraId="7A50B289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კონვერტაციასთან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04DE2324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58F6DFBD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11F23054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334B1C1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N3385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793E52B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№1324-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FCB9B55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3112D742" w14:textId="77777777" w:rsidR="00000000" w:rsidRDefault="00CF2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5.09.2018 N3385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i/>
          <w:iCs/>
          <w:sz w:val="36"/>
          <w:szCs w:val="36"/>
          <w:lang w:val="en-US"/>
        </w:rPr>
        <w:t>)</w:t>
      </w:r>
    </w:p>
    <w:p w14:paraId="3AD8CE7A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დეკემბრიდან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2A75ED72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09230110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hAnsi="Sylfaen" w:cs="Sylfaen"/>
          <w:b/>
          <w:bCs/>
          <w:lang w:eastAsia="x-none"/>
        </w:rPr>
        <w:t xml:space="preserve">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1EEC83B4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72854F67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7F441967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ივლისი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728F6F56" w14:textId="77777777" w:rsidR="00000000" w:rsidRDefault="00CF2930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№4979-</w:t>
      </w:r>
      <w:r>
        <w:rPr>
          <w:rFonts w:ascii="Sylfaen" w:eastAsia="Times New Roman" w:hAnsi="Sylfaen" w:cs="Sylfaen"/>
          <w:lang w:eastAsia="x-none"/>
        </w:rPr>
        <w:t>რს</w:t>
      </w:r>
    </w:p>
    <w:p w14:paraId="03AF3E3E" w14:textId="77777777" w:rsidR="00000000" w:rsidRDefault="00CF2930">
      <w:pPr>
        <w:pStyle w:val="Normal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2930"/>
    <w:rsid w:val="00C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45AE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Base>C:\_1\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