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საბიუჯეტო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№47, 28.12.2009,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361)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</w:t>
      </w:r>
      <w:r>
        <w:rPr>
          <w:rFonts w:ascii="Sylfaen" w:hAnsi="Sylfaen" w:cs="Sylfaen"/>
          <w:sz w:val="24"/>
          <w:szCs w:val="24"/>
        </w:rPr>
        <w:t>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</w:t>
      </w:r>
      <w:r>
        <w:rPr>
          <w:rFonts w:ascii="Sylfaen" w:hAnsi="Sylfaen" w:cs="Sylfaen"/>
          <w:sz w:val="24"/>
          <w:szCs w:val="24"/>
        </w:rPr>
        <w:t>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აჭა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გადასახადებისა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გამოცემული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</w:t>
      </w:r>
      <w:r>
        <w:rPr>
          <w:rFonts w:ascii="Sylfaen" w:hAnsi="Sylfaen" w:cs="Sylfaen"/>
          <w:sz w:val="24"/>
          <w:szCs w:val="24"/>
        </w:rPr>
        <w:t>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თანრიგით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პროცედურებისა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ჭ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ჭ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დაჯგუფებულია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ქვეპროგრამა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-8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</w:t>
      </w:r>
      <w:r>
        <w:rPr>
          <w:rFonts w:ascii="Sylfaen" w:hAnsi="Sylfaen" w:cs="Sylfaen"/>
          <w:sz w:val="24"/>
          <w:szCs w:val="24"/>
        </w:rPr>
        <w:t>მიკურ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ხარჯებისა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ფუნქციონალურ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</w:t>
      </w:r>
      <w:r>
        <w:rPr>
          <w:rFonts w:ascii="Sylfaen" w:hAnsi="Sylfaen" w:cs="Sylfaen"/>
          <w:sz w:val="24"/>
          <w:szCs w:val="24"/>
        </w:rPr>
        <w:t>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9. </w:t>
      </w:r>
      <w:r>
        <w:rPr>
          <w:rFonts w:ascii="Sylfaen" w:hAnsi="Sylfaen" w:cs="Sylfaen"/>
          <w:sz w:val="24"/>
          <w:szCs w:val="24"/>
        </w:rPr>
        <w:t>პროგრამუ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10.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ნაშთის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11. </w:t>
      </w:r>
      <w:r>
        <w:rPr>
          <w:rFonts w:ascii="Sylfaen" w:hAnsi="Sylfaen" w:cs="Sylfaen"/>
          <w:sz w:val="24"/>
          <w:szCs w:val="24"/>
        </w:rPr>
        <w:t>ბიუჯეტ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);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</w:t>
      </w:r>
      <w:r>
        <w:rPr>
          <w:rFonts w:ascii="Sylfaen" w:hAnsi="Sylfaen" w:cs="Sylfaen"/>
          <w:sz w:val="24"/>
          <w:szCs w:val="24"/>
        </w:rPr>
        <w:t>ერაციებისათვის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ნაშთის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დაგროვების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>).“.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</w:t>
      </w:r>
      <w:r>
        <w:rPr>
          <w:rFonts w:ascii="Sylfaen" w:hAnsi="Sylfaen" w:cs="Sylfaen"/>
          <w:sz w:val="24"/>
          <w:szCs w:val="24"/>
        </w:rPr>
        <w:t>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წმინდა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</w:t>
      </w:r>
      <w:r>
        <w:rPr>
          <w:rFonts w:ascii="Sylfaen" w:hAnsi="Sylfaen" w:cs="Sylfaen"/>
          <w:sz w:val="24"/>
          <w:szCs w:val="24"/>
        </w:rPr>
        <w:t>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წმინდა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</w:t>
      </w:r>
      <w:r>
        <w:rPr>
          <w:rFonts w:ascii="Sylfaen" w:hAnsi="Sylfaen" w:cs="Sylfaen"/>
          <w:sz w:val="24"/>
          <w:szCs w:val="24"/>
        </w:rPr>
        <w:t>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საშინაო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ტრანსფერებს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კლასიფიკაციაში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</w:t>
      </w:r>
      <w:r>
        <w:rPr>
          <w:rFonts w:ascii="Sylfaen" w:hAnsi="Sylfaen" w:cs="Sylfaen"/>
          <w:sz w:val="24"/>
          <w:szCs w:val="24"/>
        </w:rPr>
        <w:t>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ქვეპროგრამებსა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</w:t>
      </w:r>
      <w:r>
        <w:rPr>
          <w:rFonts w:ascii="Sylfaen" w:hAnsi="Sylfaen" w:cs="Sylfaen"/>
          <w:sz w:val="24"/>
          <w:szCs w:val="24"/>
        </w:rPr>
        <w:t>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გადააჭარბებს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2%-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ქვეპროგრამის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</w:t>
      </w:r>
      <w:r>
        <w:rPr>
          <w:rFonts w:ascii="Sylfaen" w:hAnsi="Sylfaen" w:cs="Sylfaen"/>
          <w:sz w:val="24"/>
          <w:szCs w:val="24"/>
        </w:rPr>
        <w:t>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ქვეპროგრამებსა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</w:t>
      </w:r>
      <w:r>
        <w:rPr>
          <w:rFonts w:ascii="Sylfaen" w:hAnsi="Sylfaen" w:cs="Sylfaen"/>
          <w:sz w:val="24"/>
          <w:szCs w:val="24"/>
        </w:rPr>
        <w:t>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</w:t>
      </w:r>
      <w:r>
        <w:rPr>
          <w:rFonts w:ascii="Sylfaen" w:hAnsi="Sylfaen" w:cs="Sylfaen"/>
          <w:sz w:val="24"/>
          <w:szCs w:val="24"/>
        </w:rPr>
        <w:t>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აგრეგირებულ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საორიენტაციო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მოწონებიდან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</w:t>
      </w:r>
      <w:r>
        <w:rPr>
          <w:rFonts w:ascii="Sylfaen" w:hAnsi="Sylfaen" w:cs="Sylfaen"/>
          <w:sz w:val="24"/>
          <w:szCs w:val="24"/>
        </w:rPr>
        <w:t>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წლებისათვის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</w:t>
      </w:r>
      <w:r>
        <w:rPr>
          <w:rFonts w:ascii="Sylfaen" w:hAnsi="Sylfaen" w:cs="Sylfaen"/>
          <w:sz w:val="24"/>
          <w:szCs w:val="24"/>
        </w:rPr>
        <w:t>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</w:t>
      </w:r>
      <w:r>
        <w:rPr>
          <w:rFonts w:ascii="Sylfaen" w:hAnsi="Sylfaen" w:cs="Sylfaen"/>
          <w:sz w:val="24"/>
          <w:szCs w:val="24"/>
        </w:rPr>
        <w:t>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საპროგნოზო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რიცხოვნობას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თანადაფინანსებისა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მოსალოდნელ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ზევით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</w:t>
      </w:r>
      <w:r>
        <w:rPr>
          <w:rFonts w:ascii="Sylfaen" w:hAnsi="Sylfaen" w:cs="Sylfaen"/>
          <w:sz w:val="24"/>
          <w:szCs w:val="24"/>
        </w:rPr>
        <w:t>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</w:t>
      </w:r>
      <w:r>
        <w:rPr>
          <w:rFonts w:ascii="Sylfaen" w:hAnsi="Sylfaen" w:cs="Sylfaen"/>
          <w:sz w:val="24"/>
          <w:szCs w:val="24"/>
        </w:rPr>
        <w:t>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მხარჯავმა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ნაშთის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</w:t>
      </w:r>
      <w:r>
        <w:rPr>
          <w:rFonts w:ascii="Sylfaen" w:hAnsi="Sylfaen" w:cs="Sylfaen"/>
          <w:sz w:val="24"/>
          <w:szCs w:val="24"/>
        </w:rPr>
        <w:t>ედვით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პროფიციტის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დეფიციტის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</w:t>
      </w:r>
      <w:r>
        <w:rPr>
          <w:rFonts w:ascii="Sylfaen" w:hAnsi="Sylfaen" w:cs="Sylfaen"/>
          <w:sz w:val="24"/>
          <w:szCs w:val="24"/>
        </w:rPr>
        <w:t>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მუნიციპალიტეტების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ტრანსფერების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დონორების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ქვეპროგრამებს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</w:t>
      </w:r>
      <w:r>
        <w:rPr>
          <w:rFonts w:ascii="Sylfaen" w:hAnsi="Sylfaen" w:cs="Sylfaen"/>
          <w:sz w:val="24"/>
          <w:szCs w:val="24"/>
        </w:rPr>
        <w:t>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ერთვის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მაკროეკონომიკური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ნომინალური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ინფლაცია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ინვესტიციები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.) </w:t>
      </w:r>
      <w:r>
        <w:rPr>
          <w:rFonts w:ascii="Sylfaen" w:hAnsi="Sylfaen" w:cs="Sylfaen"/>
          <w:sz w:val="24"/>
          <w:szCs w:val="24"/>
        </w:rPr>
        <w:t>პროგნოზებს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ფისკალური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პროგნოზებს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მიმოხილვა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</w:t>
      </w:r>
      <w:r>
        <w:rPr>
          <w:rFonts w:ascii="Sylfaen" w:hAnsi="Sylfaen" w:cs="Sylfaen"/>
          <w:sz w:val="24"/>
          <w:szCs w:val="24"/>
        </w:rPr>
        <w:t>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წლებისათვის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</w:t>
      </w:r>
      <w:r>
        <w:rPr>
          <w:rFonts w:ascii="Sylfaen" w:hAnsi="Sylfaen" w:cs="Sylfaen"/>
          <w:sz w:val="24"/>
          <w:szCs w:val="24"/>
        </w:rPr>
        <w:t>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45.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თანადაფინანსებისა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(25.11.2011 N 5351)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ბალანსს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მაკროეკონომიკურ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მიმოხილვას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მაჩვენებლებთან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საწყისისა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დასასრულისათვის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30%-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15%-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დაუფარავი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ტრანსფერების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(20.12.2012 N 117)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77-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</w:t>
      </w:r>
      <w:r>
        <w:rPr>
          <w:rFonts w:ascii="Sylfaen" w:hAnsi="Sylfaen" w:cs="Sylfaen"/>
          <w:sz w:val="24"/>
          <w:szCs w:val="24"/>
        </w:rPr>
        <w:t>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რიცხოვნობის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საორიენტაციო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წლებისათვის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>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საპროგნოზო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რიცხოვნობას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თანადაფინანსებისა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>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მოსალოდნელ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ნაშთის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</w:t>
      </w:r>
      <w:r>
        <w:rPr>
          <w:rFonts w:ascii="Sylfaen" w:hAnsi="Sylfaen" w:cs="Sylfaen"/>
          <w:sz w:val="24"/>
          <w:szCs w:val="24"/>
        </w:rPr>
        <w:t>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>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9BBB59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პროფიციტის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დეფიციტის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ონორების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წლებისათვის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(20.12.2012 N 117)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(20.12.2012 N 117)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დასაგ</w:t>
      </w:r>
      <w:r>
        <w:rPr>
          <w:rFonts w:ascii="Sylfaen" w:hAnsi="Sylfaen" w:cs="Sylfaen"/>
          <w:sz w:val="24"/>
          <w:szCs w:val="24"/>
        </w:rPr>
        <w:t>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აგრეგირებულ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საორიენტაციო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98-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აგვისტოსი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წლებისათვის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</w:t>
      </w:r>
      <w:r>
        <w:rPr>
          <w:rFonts w:ascii="Sylfaen" w:hAnsi="Sylfaen" w:cs="Sylfaen"/>
          <w:sz w:val="24"/>
          <w:szCs w:val="24"/>
        </w:rPr>
        <w:t>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</w:t>
      </w:r>
      <w:r>
        <w:rPr>
          <w:rFonts w:ascii="Sylfaen" w:hAnsi="Sylfaen" w:cs="Sylfaen"/>
          <w:sz w:val="24"/>
          <w:szCs w:val="24"/>
        </w:rPr>
        <w:t>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საპროგნოზო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რიცხოვნობას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თანადაფინანსებისა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</w:t>
      </w:r>
      <w:r>
        <w:rPr>
          <w:rFonts w:ascii="Sylfaen" w:hAnsi="Sylfaen" w:cs="Sylfaen"/>
          <w:sz w:val="24"/>
          <w:szCs w:val="24"/>
        </w:rPr>
        <w:t>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მოსალოდნელ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ნაშთის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</w:t>
      </w:r>
      <w:r>
        <w:rPr>
          <w:rFonts w:ascii="Sylfaen" w:hAnsi="Sylfaen" w:cs="Sylfaen"/>
          <w:sz w:val="24"/>
          <w:szCs w:val="24"/>
        </w:rPr>
        <w:t>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პროფიციტის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დეფ</w:t>
      </w:r>
      <w:r>
        <w:rPr>
          <w:rFonts w:ascii="Sylfaen" w:hAnsi="Sylfaen" w:cs="Sylfaen"/>
          <w:sz w:val="24"/>
          <w:szCs w:val="24"/>
        </w:rPr>
        <w:t>იციტის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>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</w:t>
      </w:r>
      <w:r>
        <w:rPr>
          <w:rFonts w:ascii="Sylfaen" w:hAnsi="Sylfaen" w:cs="Sylfaen"/>
          <w:sz w:val="24"/>
          <w:szCs w:val="24"/>
        </w:rPr>
        <w:t>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ფისკალური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პროგნოზების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</w:t>
      </w:r>
      <w:r>
        <w:rPr>
          <w:rFonts w:ascii="Sylfaen" w:hAnsi="Sylfaen" w:cs="Sylfaen"/>
          <w:sz w:val="24"/>
          <w:szCs w:val="24"/>
        </w:rPr>
        <w:t>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</w:t>
      </w:r>
      <w:r>
        <w:rPr>
          <w:rFonts w:ascii="Sylfaen" w:hAnsi="Sylfaen" w:cs="Sylfaen"/>
          <w:sz w:val="24"/>
          <w:szCs w:val="24"/>
        </w:rPr>
        <w:t>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დასაგეგმისშემდგომი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110-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110.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ბალანსს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მაჩვენებლებთან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დასასრულისათვის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</w:t>
      </w:r>
      <w:r>
        <w:rPr>
          <w:rFonts w:ascii="Sylfaen" w:hAnsi="Sylfaen" w:cs="Sylfaen"/>
          <w:sz w:val="24"/>
          <w:szCs w:val="24"/>
        </w:rPr>
        <w:t>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30%-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</w:t>
      </w:r>
      <w:r>
        <w:rPr>
          <w:rFonts w:ascii="Sylfaen" w:hAnsi="Sylfaen" w:cs="Sylfaen"/>
          <w:sz w:val="24"/>
          <w:szCs w:val="24"/>
        </w:rPr>
        <w:t>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15%-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ფონდებიდან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მხარჯავი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ქვეპროგრამების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112-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114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11</w:t>
      </w:r>
      <w:r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დებულებანი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ბიუჯეტებზე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26.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-20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(20.12.2012 </w:t>
      </w:r>
      <w:r>
        <w:rPr>
          <w:rFonts w:ascii="Sylfaen" w:hAnsi="Sylfaen" w:cs="Sylfaen"/>
          <w:i/>
          <w:iCs/>
          <w:sz w:val="20"/>
          <w:szCs w:val="20"/>
        </w:rPr>
        <w:t>N 117 )</w:t>
      </w:r>
    </w:p>
    <w:p w:rsidR="00000000" w:rsidRDefault="00A45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(20.12.2012 N 117 )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28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452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№5172–II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452F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52FE"/>
    <w:rsid w:val="00A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3745</Words>
  <Characters>21347</Characters>
  <Application>Microsoft Office Word</Application>
  <DocSecurity>0</DocSecurity>
  <Lines>177</Lines>
  <Paragraphs>50</Paragraphs>
  <ScaleCrop>false</ScaleCrop>
  <Company/>
  <LinksUpToDate>false</LinksUpToDate>
  <CharactersWithSpaces>25042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