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5ED4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57E8DEEE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1BBD2A4D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განათლების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430C9DA5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6089C54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14:paraId="2362371B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09E8D291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43E2AA4A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14:paraId="69ABB9C3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მოაწესრიგოს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>.</w:t>
      </w:r>
    </w:p>
    <w:p w14:paraId="7C0268B8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037856DB" w14:textId="77777777" w:rsidR="00000000" w:rsidRDefault="00931A8E">
      <w:pPr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საფუძვლები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(20.09.2018 N3446)</w:t>
      </w:r>
    </w:p>
    <w:p w14:paraId="3AA8B459" w14:textId="77777777" w:rsidR="00000000" w:rsidRDefault="00931A8E">
      <w:pPr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1B9B49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3F21415F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14:paraId="79D5AB1B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15122399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№2615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 (22.12.2018 N4083)</w:t>
      </w:r>
    </w:p>
    <w:p w14:paraId="73EC5090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(25.05.2012. N6300)</w:t>
      </w:r>
    </w:p>
    <w:p w14:paraId="4BDB960E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ინსტრუქტორი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მსმენელს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ჩვევების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21866BC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მსმენელი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>;</w:t>
      </w:r>
    </w:p>
    <w:p w14:paraId="3D2A175C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გამომუშავება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№2615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 (22.12.2018 N4083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2CEEED4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გადამზადება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სწავლების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ჩვევების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განპირობებულია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27ACFCA8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კვალიფიკ</w:t>
      </w:r>
      <w:r>
        <w:rPr>
          <w:rFonts w:ascii="Sylfaen" w:eastAsia="Times New Roman" w:hAnsi="Sylfaen" w:cs="Sylfaen"/>
          <w:lang w:val="en-US"/>
        </w:rPr>
        <w:t>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სწავლების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</w:t>
      </w:r>
      <w:r>
        <w:rPr>
          <w:rFonts w:ascii="Sylfaen" w:eastAsia="Times New Roman" w:hAnsi="Sylfaen" w:cs="Sylfaen"/>
          <w:lang w:val="en-US"/>
        </w:rPr>
        <w:t>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დახვეწა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№2615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 (22.12.2018 N4083)</w:t>
      </w:r>
    </w:p>
    <w:p w14:paraId="32657101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78AD0123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განათლების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№2615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 (22.12.2018 N4083)</w:t>
      </w:r>
    </w:p>
    <w:p w14:paraId="20118A63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>:</w:t>
      </w:r>
    </w:p>
    <w:p w14:paraId="5BF6B661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14:paraId="22BF8CD8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</w:t>
      </w:r>
      <w:r>
        <w:rPr>
          <w:rFonts w:ascii="Sylfaen" w:eastAsia="Times New Roman" w:hAnsi="Sylfaen" w:cs="Sylfaen"/>
          <w:lang w:val="en-US"/>
        </w:rPr>
        <w:t>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14:paraId="298AF9A3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>.</w:t>
      </w:r>
    </w:p>
    <w:p w14:paraId="53979A69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7A0B90D2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14:paraId="28BFD0F6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განათლების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</w:p>
    <w:p w14:paraId="61C02CD4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პროგრამა</w:t>
      </w:r>
    </w:p>
    <w:p w14:paraId="2484BB73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1317FCFA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პროფესი</w:t>
      </w:r>
      <w:r>
        <w:rPr>
          <w:rFonts w:ascii="Sylfaen" w:eastAsia="Times New Roman" w:hAnsi="Sylfaen" w:cs="Sylfaen"/>
          <w:b/>
          <w:bCs/>
          <w:lang w:val="en-US"/>
        </w:rPr>
        <w:t>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განათლების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მიღების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№2615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 (22.12.2018 N4083)</w:t>
      </w:r>
    </w:p>
    <w:p w14:paraId="1A50C044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>.</w:t>
      </w:r>
    </w:p>
    <w:p w14:paraId="26ECA215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5F12CE01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(25.05.2012. N6300)</w:t>
      </w:r>
    </w:p>
    <w:p w14:paraId="6F75D60D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16A19AD3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პროგრამა</w:t>
      </w:r>
    </w:p>
    <w:p w14:paraId="50BD4BEC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(27.06.2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018.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№2615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 (22.12.2018 N4083)</w:t>
      </w:r>
    </w:p>
    <w:p w14:paraId="09166A37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BF56C6A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მსმენელის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№2615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 (22.12.2018 N4083)</w:t>
      </w:r>
    </w:p>
    <w:p w14:paraId="514CED55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</w:p>
    <w:p w14:paraId="0F39B305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მსმენელის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შეფასება</w:t>
      </w:r>
    </w:p>
    <w:p w14:paraId="339571D4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lastRenderedPageBreak/>
        <w:t xml:space="preserve">1. </w:t>
      </w:r>
      <w:r>
        <w:rPr>
          <w:rFonts w:ascii="Sylfaen" w:eastAsia="Times New Roman" w:hAnsi="Sylfaen" w:cs="Sylfaen"/>
          <w:lang w:eastAsia="x-none"/>
        </w:rPr>
        <w:t>სპეციალ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მსმენელის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073C8F89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მსმენელის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eastAsia="x-none"/>
        </w:rPr>
        <w:t>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14:paraId="395B331E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AC4D026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14:paraId="6B72423B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სტატუსი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</w:p>
    <w:p w14:paraId="1963B82A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ორგანიზაციულ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</w:p>
    <w:p w14:paraId="219CD7EF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1914B9E7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ორგანიზაციულ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ფორმა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№2615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 (22.12.2018 N4083)</w:t>
      </w:r>
    </w:p>
    <w:p w14:paraId="4B2C90BC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>.</w:t>
      </w:r>
    </w:p>
    <w:p w14:paraId="07B95085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აკადემია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დანაყოფი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>:</w:t>
      </w:r>
    </w:p>
    <w:p w14:paraId="6B52B815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</w:t>
      </w:r>
      <w:r>
        <w:rPr>
          <w:rFonts w:ascii="Sylfaen" w:eastAsia="Times New Roman" w:hAnsi="Sylfaen" w:cs="Sylfaen"/>
          <w:lang w:val="en-US"/>
        </w:rPr>
        <w:t>ვლებას</w:t>
      </w:r>
      <w:r>
        <w:rPr>
          <w:rFonts w:ascii="Sylfaen" w:eastAsia="Times New Roman" w:hAnsi="Sylfaen" w:cs="Sylfaen"/>
          <w:lang w:val="en-US"/>
        </w:rPr>
        <w:t>;</w:t>
      </w:r>
    </w:p>
    <w:p w14:paraId="5F6CFF8E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გამომუშავებისა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დახვეწის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სწავლებას</w:t>
      </w:r>
      <w:r>
        <w:rPr>
          <w:rFonts w:ascii="Sylfaen" w:eastAsia="Times New Roman" w:hAnsi="Sylfaen" w:cs="Sylfaen"/>
          <w:lang w:val="en-US"/>
        </w:rPr>
        <w:t>;</w:t>
      </w:r>
    </w:p>
    <w:p w14:paraId="7394C339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</w:t>
      </w:r>
      <w:r>
        <w:rPr>
          <w:rFonts w:ascii="Sylfaen" w:eastAsia="Times New Roman" w:hAnsi="Sylfaen" w:cs="Sylfaen"/>
          <w:lang w:val="en-US"/>
        </w:rPr>
        <w:t>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>.</w:t>
      </w:r>
    </w:p>
    <w:p w14:paraId="2D125D57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3493A15B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</w:p>
    <w:p w14:paraId="1EA1F63A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>ბულების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466FE490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4DA04BD1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ინსტრუქტორი</w:t>
      </w:r>
    </w:p>
    <w:p w14:paraId="19897329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თეორიული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ცოდნისა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ჩვევების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მსმენელს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4913A464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1966886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პერსონალისთვის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დადგენილი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შეზღუდვა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(17.03.2020 N5762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2348823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დასაქმდეს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სქესობრივი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ნასამართლევი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4578E0B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6DF101FA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სოციალურ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ვალდებულებები</w:t>
      </w:r>
    </w:p>
    <w:p w14:paraId="51E5C6AF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</w:t>
      </w:r>
      <w:r>
        <w:rPr>
          <w:rFonts w:ascii="Sylfaen" w:eastAsia="Times New Roman" w:hAnsi="Sylfaen" w:cs="Sylfaen"/>
          <w:lang w:eastAsia="x-none"/>
        </w:rPr>
        <w:t>.</w:t>
      </w:r>
    </w:p>
    <w:p w14:paraId="770412F2" w14:textId="77777777" w:rsidR="00000000" w:rsidRDefault="0093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საჭიროებიდან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№2615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 (22.12.2018 N4083)</w:t>
      </w:r>
    </w:p>
    <w:p w14:paraId="7257B2EA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</w:p>
    <w:p w14:paraId="2977B584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14:paraId="707B6231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4872D874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8E6AE48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14:paraId="44B8FFAF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0835BC69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1089C7D6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14:paraId="10C41F5B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№5366-II</w:t>
      </w:r>
      <w:r>
        <w:rPr>
          <w:rFonts w:ascii="Sylfaen" w:eastAsia="Times New Roman" w:hAnsi="Sylfaen" w:cs="Sylfaen"/>
          <w:lang w:eastAsia="x-none"/>
        </w:rPr>
        <w:t>ს</w:t>
      </w:r>
    </w:p>
    <w:p w14:paraId="4EF3ABE4" w14:textId="77777777" w:rsidR="00000000" w:rsidRDefault="00931A8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88028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31A8E"/>
    <w:rsid w:val="009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C95A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rFonts w:ascii="Sylfaen" w:hAnsi="Sylfaen" w:cs="Sylfaen"/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xml">
    <w:name w:val="tavi_xml"/>
    <w:basedOn w:val="Normal"/>
    <w:uiPriority w:val="99"/>
    <w:p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spacing w:after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